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shd w:val="clear" w:color="auto" w:fill="E6E6E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D2F74D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268FAFBA" w:rsidR="004D4723" w:rsidRPr="00FB7EE4" w:rsidRDefault="00893BDB" w:rsidP="005A4D7B">
            <w:pPr>
              <w:pStyle w:val="MHHSBody"/>
              <w:rPr>
                <w:rFonts w:cstheme="minorHAnsi"/>
                <w:i/>
                <w:iCs/>
                <w:color w:val="041425" w:themeColor="text1"/>
                <w:szCs w:val="20"/>
              </w:rPr>
            </w:pPr>
            <w:r w:rsidRPr="00FB7EE4">
              <w:rPr>
                <w:rFonts w:cstheme="minorHAnsi"/>
                <w:i/>
                <w:iCs/>
                <w:color w:val="041425" w:themeColor="text1"/>
                <w:szCs w:val="20"/>
              </w:rPr>
              <w:t>Change to Non-Functional Requirements for LDSOs</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46FBECEB" w:rsidR="004D4723" w:rsidRPr="00DF7C48" w:rsidRDefault="00FB7EE4" w:rsidP="005A4D7B">
            <w:pPr>
              <w:pStyle w:val="MHHSBody"/>
              <w:rPr>
                <w:rFonts w:cstheme="minorHAnsi"/>
                <w:i/>
                <w:iCs/>
                <w:szCs w:val="20"/>
              </w:rPr>
            </w:pPr>
            <w:r>
              <w:rPr>
                <w:rFonts w:cstheme="minorHAnsi"/>
                <w:i/>
                <w:iCs/>
                <w:szCs w:val="20"/>
              </w:rPr>
              <w:t>CR054</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71CB78DD" w:rsidR="004D4723" w:rsidRPr="00DF7C48" w:rsidRDefault="00FB7EE4" w:rsidP="005A4D7B">
            <w:pPr>
              <w:pStyle w:val="MHHSBody"/>
              <w:rPr>
                <w:rFonts w:cstheme="minorHAnsi"/>
                <w:i/>
                <w:iCs/>
                <w:szCs w:val="20"/>
              </w:rPr>
            </w:pPr>
            <w:r>
              <w:rPr>
                <w:rFonts w:cstheme="minorHAnsi"/>
                <w:i/>
                <w:iCs/>
                <w:szCs w:val="20"/>
              </w:rPr>
              <w:t>LDSO Discussion Forum</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02ADEBE9" w:rsidR="004D4723" w:rsidRPr="00DF7C48" w:rsidRDefault="004D4723" w:rsidP="005A4D7B">
            <w:pPr>
              <w:pStyle w:val="MHHSBody"/>
              <w:rPr>
                <w:rFonts w:cstheme="minorHAnsi"/>
                <w:i/>
                <w:iCs/>
                <w:szCs w:val="20"/>
              </w:rPr>
            </w:pP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7645CF1A" w:rsidR="004D4723" w:rsidRPr="00FB7EE4" w:rsidRDefault="00893BDB" w:rsidP="005A4D7B">
            <w:pPr>
              <w:pStyle w:val="MHHSBody"/>
              <w:rPr>
                <w:rFonts w:cstheme="minorHAnsi"/>
                <w:i/>
                <w:iCs/>
                <w:color w:val="041425" w:themeColor="text1"/>
                <w:szCs w:val="20"/>
              </w:rPr>
            </w:pPr>
            <w:r w:rsidRPr="00FB7EE4">
              <w:rPr>
                <w:rFonts w:cstheme="minorHAnsi"/>
                <w:i/>
                <w:iCs/>
                <w:color w:val="041425" w:themeColor="text1"/>
                <w:szCs w:val="20"/>
              </w:rPr>
              <w:t>David Yeoman (UKPN)</w:t>
            </w:r>
          </w:p>
        </w:tc>
        <w:tc>
          <w:tcPr>
            <w:tcW w:w="1417" w:type="dxa"/>
            <w:tcBorders>
              <w:left w:val="single" w:sz="4" w:space="0" w:color="auto"/>
              <w:right w:val="single" w:sz="4" w:space="0" w:color="auto"/>
            </w:tcBorders>
          </w:tcPr>
          <w:p w14:paraId="313F282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213B1903" w:rsidR="00393377" w:rsidRPr="00DF7C48" w:rsidRDefault="00893BDB" w:rsidP="005A4D7B">
            <w:pPr>
              <w:pStyle w:val="MHHSBody"/>
              <w:rPr>
                <w:rFonts w:cstheme="minorHAnsi"/>
                <w:i/>
                <w:iCs/>
                <w:szCs w:val="20"/>
              </w:rPr>
            </w:pPr>
            <w:r w:rsidRPr="00FB7EE4">
              <w:rPr>
                <w:rFonts w:cstheme="minorHAnsi"/>
                <w:i/>
                <w:iCs/>
                <w:color w:val="041425" w:themeColor="text1"/>
                <w:szCs w:val="20"/>
              </w:rPr>
              <w:t>05/07/24</w:t>
            </w:r>
            <w:r w:rsidR="000B2DD6" w:rsidRPr="00FB7EE4">
              <w:rPr>
                <w:rFonts w:cstheme="minorHAnsi"/>
                <w:i/>
                <w:iCs/>
                <w:color w:val="041425" w:themeColor="text1"/>
                <w:szCs w:val="20"/>
              </w:rPr>
              <w:t>, revised 22/07/24</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6941"/>
        <w:gridCol w:w="2552"/>
        <w:gridCol w:w="1187"/>
      </w:tblGrid>
      <w:tr w:rsidR="009D5B37" w14:paraId="5860EBB2" w14:textId="77777777" w:rsidTr="346DB050">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3"/>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346DB050">
        <w:trPr>
          <w:trHeight w:val="1515"/>
        </w:trPr>
        <w:tc>
          <w:tcPr>
            <w:tcW w:w="10680" w:type="dxa"/>
            <w:gridSpan w:val="3"/>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373EC28C" w:rsidR="00790171" w:rsidRDefault="00790171" w:rsidP="00BA4845">
            <w:pPr>
              <w:pStyle w:val="MHHSBody"/>
              <w:spacing w:after="20" w:line="0" w:lineRule="atLeast"/>
              <w:rPr>
                <w:i/>
                <w:iCs/>
                <w:sz w:val="16"/>
                <w:szCs w:val="16"/>
              </w:rPr>
            </w:pPr>
            <w:r w:rsidRPr="002855CB">
              <w:rPr>
                <w:i/>
                <w:iCs/>
                <w:sz w:val="16"/>
                <w:szCs w:val="16"/>
              </w:rPr>
              <w:t xml:space="preserve">(the issue </w:t>
            </w:r>
            <w:r w:rsidR="002855CB">
              <w:rPr>
                <w:i/>
                <w:iCs/>
                <w:sz w:val="16"/>
                <w:szCs w:val="16"/>
              </w:rPr>
              <w:t>that needs to be resolved by the change)</w:t>
            </w:r>
          </w:p>
          <w:p w14:paraId="45581A45" w14:textId="77777777" w:rsidR="00893BDB" w:rsidRDefault="00893BDB" w:rsidP="00BA4845">
            <w:pPr>
              <w:pStyle w:val="MHHSBody"/>
              <w:spacing w:after="20" w:line="0" w:lineRule="atLeast"/>
              <w:rPr>
                <w:i/>
                <w:iCs/>
                <w:sz w:val="16"/>
                <w:szCs w:val="16"/>
              </w:rPr>
            </w:pPr>
          </w:p>
          <w:p w14:paraId="34A7715D" w14:textId="77777777" w:rsidR="00893BDB" w:rsidRPr="00FB7EE4" w:rsidRDefault="00893BDB" w:rsidP="00893BDB">
            <w:pPr>
              <w:rPr>
                <w:rFonts w:ascii="Calibri" w:hAnsi="Calibri"/>
                <w:color w:val="041425" w:themeColor="text1"/>
              </w:rPr>
            </w:pPr>
            <w:r w:rsidRPr="00FB7EE4">
              <w:rPr>
                <w:rFonts w:ascii="Calibri" w:hAnsi="Calibri"/>
                <w:color w:val="041425" w:themeColor="text1"/>
              </w:rPr>
              <w:t xml:space="preserve">During various MHHS PMO lead workshops and session with LDSOs and others, it has been acknowledged, that some of the Non-Functional Requirements (NFR) are incorrect. </w:t>
            </w:r>
          </w:p>
          <w:p w14:paraId="4881BFCA" w14:textId="77777777" w:rsidR="00893BDB" w:rsidRDefault="00893BDB" w:rsidP="00BA4845">
            <w:pPr>
              <w:pStyle w:val="MHHSBody"/>
              <w:spacing w:after="20" w:line="0" w:lineRule="atLeast"/>
              <w:rPr>
                <w:i/>
                <w:iCs/>
                <w:sz w:val="16"/>
                <w:szCs w:val="16"/>
              </w:rPr>
            </w:pPr>
          </w:p>
          <w:p w14:paraId="029A71F8" w14:textId="1F95C0AE" w:rsidR="00B0254B" w:rsidRPr="00E50124" w:rsidRDefault="00B0254B" w:rsidP="00BA4845">
            <w:pPr>
              <w:pStyle w:val="MHHSBody"/>
              <w:spacing w:after="20" w:line="0" w:lineRule="atLeast"/>
              <w:rPr>
                <w:sz w:val="16"/>
                <w:szCs w:val="16"/>
              </w:rPr>
            </w:pPr>
            <w:r w:rsidRPr="00E50124">
              <w:rPr>
                <w:color w:val="2B579A"/>
                <w:szCs w:val="20"/>
                <w:shd w:val="clear" w:color="auto" w:fill="E6E6E6"/>
              </w:rPr>
              <w:fldChar w:fldCharType="begin">
                <w:ffData>
                  <w:name w:val="Text52"/>
                  <w:enabled/>
                  <w:calcOnExit w:val="0"/>
                  <w:textInput/>
                </w:ffData>
              </w:fldChar>
            </w:r>
            <w:bookmarkStart w:id="0" w:name="Text52"/>
            <w:r w:rsidRPr="00E50124">
              <w:rPr>
                <w:szCs w:val="20"/>
              </w:rPr>
              <w:instrText xml:space="preserve"> FORMTEXT </w:instrText>
            </w:r>
            <w:r w:rsidRPr="00E50124">
              <w:rPr>
                <w:color w:val="2B579A"/>
                <w:szCs w:val="20"/>
                <w:shd w:val="clear" w:color="auto" w:fill="E6E6E6"/>
              </w:rPr>
            </w:r>
            <w:r w:rsidRPr="00E50124">
              <w:rPr>
                <w:color w:val="2B579A"/>
                <w:szCs w:val="20"/>
                <w:shd w:val="clear" w:color="auto" w:fill="E6E6E6"/>
              </w:rPr>
              <w:fldChar w:fldCharType="separate"/>
            </w:r>
            <w:r w:rsidR="00C44422">
              <w:rPr>
                <w:szCs w:val="20"/>
              </w:rPr>
              <w:t> </w:t>
            </w:r>
            <w:r w:rsidR="00C44422">
              <w:rPr>
                <w:szCs w:val="20"/>
              </w:rPr>
              <w:t> </w:t>
            </w:r>
            <w:r w:rsidR="00C44422">
              <w:rPr>
                <w:szCs w:val="20"/>
              </w:rPr>
              <w:t> </w:t>
            </w:r>
            <w:r w:rsidR="00C44422">
              <w:rPr>
                <w:szCs w:val="20"/>
              </w:rPr>
              <w:t> </w:t>
            </w:r>
            <w:r w:rsidR="00C44422">
              <w:rPr>
                <w:szCs w:val="20"/>
              </w:rPr>
              <w:t> </w:t>
            </w:r>
            <w:r w:rsidRPr="00E50124">
              <w:rPr>
                <w:color w:val="2B579A"/>
                <w:szCs w:val="20"/>
                <w:shd w:val="clear" w:color="auto" w:fill="E6E6E6"/>
              </w:rPr>
              <w:fldChar w:fldCharType="end"/>
            </w:r>
            <w:bookmarkEnd w:id="0"/>
          </w:p>
        </w:tc>
      </w:tr>
      <w:tr w:rsidR="00893BDB" w14:paraId="20F0E9C2" w14:textId="77777777" w:rsidTr="346DB050">
        <w:trPr>
          <w:trHeight w:val="1515"/>
        </w:trPr>
        <w:tc>
          <w:tcPr>
            <w:tcW w:w="10680" w:type="dxa"/>
            <w:gridSpan w:val="3"/>
            <w:vAlign w:val="top"/>
          </w:tcPr>
          <w:p w14:paraId="29798F5B" w14:textId="77777777" w:rsidR="00893BDB" w:rsidRPr="00FB7EE4" w:rsidRDefault="00893BDB" w:rsidP="00893BDB">
            <w:pPr>
              <w:pStyle w:val="MHHSBody"/>
              <w:spacing w:after="20" w:line="0" w:lineRule="atLeast"/>
              <w:rPr>
                <w:b/>
                <w:bCs/>
                <w:color w:val="041425" w:themeColor="text1"/>
              </w:rPr>
            </w:pPr>
            <w:r w:rsidRPr="00FB7EE4">
              <w:rPr>
                <w:b/>
                <w:bCs/>
                <w:color w:val="041425" w:themeColor="text1"/>
              </w:rPr>
              <w:t>Description of change:</w:t>
            </w:r>
          </w:p>
          <w:p w14:paraId="377D615D" w14:textId="77777777" w:rsidR="00893BDB" w:rsidRPr="00FB7EE4" w:rsidRDefault="00893BDB" w:rsidP="00893BDB">
            <w:pPr>
              <w:pStyle w:val="MHHSBody"/>
              <w:spacing w:after="20" w:line="0" w:lineRule="atLeast"/>
              <w:rPr>
                <w:b/>
                <w:bCs/>
                <w:color w:val="041425" w:themeColor="text1"/>
              </w:rPr>
            </w:pPr>
            <w:r w:rsidRPr="00FB7EE4">
              <w:rPr>
                <w:i/>
                <w:iCs/>
                <w:color w:val="041425" w:themeColor="text1"/>
                <w:sz w:val="16"/>
                <w:szCs w:val="16"/>
              </w:rPr>
              <w:t>(the change being proposed)</w:t>
            </w:r>
          </w:p>
          <w:p w14:paraId="600CF550" w14:textId="77777777" w:rsidR="00893BDB" w:rsidRPr="00FB7EE4" w:rsidRDefault="00893BDB" w:rsidP="00893BDB">
            <w:pPr>
              <w:pStyle w:val="MHHSBody"/>
              <w:rPr>
                <w:color w:val="041425" w:themeColor="text1"/>
                <w:shd w:val="clear" w:color="auto" w:fill="E6E6E6"/>
              </w:rPr>
            </w:pPr>
            <w:r w:rsidRPr="00FB7EE4">
              <w:rPr>
                <w:color w:val="041425" w:themeColor="text1"/>
                <w:shd w:val="clear" w:color="auto" w:fill="E6E6E6"/>
              </w:rPr>
              <w:fldChar w:fldCharType="begin">
                <w:ffData>
                  <w:name w:val="Text6"/>
                  <w:enabled/>
                  <w:calcOnExit w:val="0"/>
                  <w:textInput/>
                </w:ffData>
              </w:fldChar>
            </w:r>
            <w:bookmarkStart w:id="1" w:name="Text6"/>
            <w:r w:rsidRPr="00FB7EE4">
              <w:rPr>
                <w:color w:val="041425" w:themeColor="text1"/>
              </w:rPr>
              <w:instrText xml:space="preserve"> FORMTEXT </w:instrText>
            </w:r>
            <w:r w:rsidRPr="00FB7EE4">
              <w:rPr>
                <w:color w:val="041425" w:themeColor="text1"/>
                <w:shd w:val="clear" w:color="auto" w:fill="E6E6E6"/>
              </w:rPr>
            </w:r>
            <w:r w:rsidRPr="00FB7EE4">
              <w:rPr>
                <w:color w:val="041425" w:themeColor="text1"/>
                <w:shd w:val="clear" w:color="auto" w:fill="E6E6E6"/>
              </w:rPr>
              <w:fldChar w:fldCharType="separate"/>
            </w:r>
            <w:r w:rsidRPr="00FB7EE4">
              <w:rPr>
                <w:noProof/>
                <w:color w:val="041425" w:themeColor="text1"/>
              </w:rPr>
              <w:t> </w:t>
            </w:r>
            <w:r w:rsidRPr="00FB7EE4">
              <w:rPr>
                <w:noProof/>
                <w:color w:val="041425" w:themeColor="text1"/>
              </w:rPr>
              <w:t> </w:t>
            </w:r>
            <w:r w:rsidRPr="00FB7EE4">
              <w:rPr>
                <w:noProof/>
                <w:color w:val="041425" w:themeColor="text1"/>
              </w:rPr>
              <w:t> </w:t>
            </w:r>
            <w:r w:rsidRPr="00FB7EE4">
              <w:rPr>
                <w:noProof/>
                <w:color w:val="041425" w:themeColor="text1"/>
              </w:rPr>
              <w:t> </w:t>
            </w:r>
            <w:r w:rsidRPr="00FB7EE4">
              <w:rPr>
                <w:noProof/>
                <w:color w:val="041425" w:themeColor="text1"/>
              </w:rPr>
              <w:t> </w:t>
            </w:r>
            <w:r w:rsidRPr="00FB7EE4">
              <w:rPr>
                <w:color w:val="041425" w:themeColor="text1"/>
                <w:shd w:val="clear" w:color="auto" w:fill="E6E6E6"/>
              </w:rPr>
              <w:fldChar w:fldCharType="end"/>
            </w:r>
            <w:bookmarkEnd w:id="1"/>
          </w:p>
          <w:p w14:paraId="6C2BF7AB" w14:textId="77777777" w:rsidR="00893BDB" w:rsidRPr="00FB7EE4" w:rsidRDefault="00893BDB" w:rsidP="00893BDB">
            <w:pPr>
              <w:rPr>
                <w:rFonts w:ascii="Calibri" w:hAnsi="Calibri"/>
                <w:color w:val="041425" w:themeColor="text1"/>
              </w:rPr>
            </w:pPr>
            <w:r w:rsidRPr="00FB7EE4">
              <w:rPr>
                <w:rFonts w:ascii="Calibri" w:hAnsi="Calibri"/>
                <w:color w:val="041425" w:themeColor="text1"/>
              </w:rPr>
              <w:t>This change request is supported by and submitted on behalf of all LDSOs.</w:t>
            </w:r>
          </w:p>
          <w:p w14:paraId="6DC953C1" w14:textId="77777777" w:rsidR="00893BDB" w:rsidRPr="00FB7EE4" w:rsidRDefault="00893BDB" w:rsidP="00893BDB">
            <w:pPr>
              <w:rPr>
                <w:rFonts w:ascii="Calibri" w:hAnsi="Calibri"/>
                <w:color w:val="041425" w:themeColor="text1"/>
              </w:rPr>
            </w:pPr>
          </w:p>
          <w:p w14:paraId="5F9EFE09" w14:textId="77777777" w:rsidR="00893BDB" w:rsidRPr="00FB7EE4" w:rsidRDefault="00893BDB" w:rsidP="00893BDB">
            <w:pPr>
              <w:rPr>
                <w:rFonts w:ascii="Calibri" w:hAnsi="Calibri"/>
                <w:color w:val="041425" w:themeColor="text1"/>
              </w:rPr>
            </w:pPr>
            <w:r w:rsidRPr="00FB7EE4">
              <w:rPr>
                <w:rFonts w:ascii="Calibri" w:hAnsi="Calibri"/>
                <w:color w:val="041425" w:themeColor="text1"/>
              </w:rPr>
              <w:t xml:space="preserve">During various MHHS PMO lead workshops and session with LDSOs and others, it has been acknowledged, that some of the Non-Functional Requirements (NFR) are incorrect. </w:t>
            </w:r>
          </w:p>
          <w:p w14:paraId="718480E6" w14:textId="77777777" w:rsidR="00893BDB" w:rsidRPr="00FB7EE4" w:rsidRDefault="00893BDB" w:rsidP="00893BDB">
            <w:pPr>
              <w:rPr>
                <w:rFonts w:ascii="Calibri" w:hAnsi="Calibri"/>
                <w:color w:val="041425" w:themeColor="text1"/>
              </w:rPr>
            </w:pPr>
          </w:p>
          <w:p w14:paraId="0351EB66" w14:textId="399154EE" w:rsidR="00893BDB" w:rsidRPr="00FB7EE4" w:rsidRDefault="00893BDB" w:rsidP="00893BDB">
            <w:pPr>
              <w:rPr>
                <w:rFonts w:ascii="Calibri" w:hAnsi="Calibri"/>
                <w:color w:val="041425" w:themeColor="text1"/>
                <w:szCs w:val="20"/>
              </w:rPr>
            </w:pPr>
            <w:r w:rsidRPr="00FB7EE4">
              <w:rPr>
                <w:rFonts w:ascii="Calibri" w:hAnsi="Calibri"/>
                <w:color w:val="041425" w:themeColor="text1"/>
                <w:szCs w:val="20"/>
              </w:rPr>
              <w:t xml:space="preserve">The NFR catalogue refers to ‘All Services’. Additional clarity is required as to the meaning of this term. It is unclear on the purpose of this term when referenced against some of the non-functional metrics quoted. </w:t>
            </w:r>
            <w:r w:rsidR="00FB7EE4" w:rsidRPr="00FB7EE4">
              <w:rPr>
                <w:rFonts w:ascii="Calibri" w:hAnsi="Calibri"/>
                <w:color w:val="041425" w:themeColor="text1"/>
                <w:szCs w:val="20"/>
              </w:rPr>
              <w:t>‘All Services’ should be defined as ‘</w:t>
            </w:r>
            <w:r w:rsidR="00FB7EE4" w:rsidRPr="00FB7EE4">
              <w:rPr>
                <w:rFonts w:ascii="Calibri" w:hAnsi="Calibri" w:cs="Calibri"/>
                <w:color w:val="212121"/>
                <w:szCs w:val="20"/>
              </w:rPr>
              <w:t>All Services by market role’.</w:t>
            </w:r>
          </w:p>
          <w:p w14:paraId="78C054A2" w14:textId="77777777" w:rsidR="00893BDB" w:rsidRPr="00FB7EE4" w:rsidRDefault="00893BDB" w:rsidP="00893BDB">
            <w:pPr>
              <w:rPr>
                <w:rFonts w:ascii="Calibri" w:hAnsi="Calibri"/>
                <w:color w:val="041425" w:themeColor="text1"/>
              </w:rPr>
            </w:pPr>
          </w:p>
          <w:p w14:paraId="057BCDFB" w14:textId="77777777" w:rsidR="00893BDB" w:rsidRPr="00FB7EE4" w:rsidRDefault="00893BDB" w:rsidP="00893BDB">
            <w:pPr>
              <w:rPr>
                <w:rFonts w:ascii="Calibri" w:hAnsi="Calibri"/>
                <w:color w:val="041425" w:themeColor="text1"/>
              </w:rPr>
            </w:pPr>
            <w:r w:rsidRPr="00FB7EE4">
              <w:rPr>
                <w:rFonts w:ascii="Calibri" w:hAnsi="Calibri"/>
                <w:color w:val="041425" w:themeColor="text1"/>
              </w:rPr>
              <w:t>For example, assuming the DIP is a ‘service’, by definition, any other metric quoted for any other service must require a lower volumetric to be tested, as the DIP is the totality of MHHS messages. Therefore, the same NFRs cannot apply to all services.</w:t>
            </w:r>
          </w:p>
          <w:p w14:paraId="7999DBCA" w14:textId="77777777" w:rsidR="00893BDB" w:rsidRPr="00FB7EE4" w:rsidRDefault="00893BDB" w:rsidP="00893BDB">
            <w:pPr>
              <w:rPr>
                <w:rFonts w:ascii="Calibri" w:hAnsi="Calibri"/>
                <w:color w:val="041425" w:themeColor="text1"/>
              </w:rPr>
            </w:pPr>
          </w:p>
          <w:p w14:paraId="1E91CAC6" w14:textId="77777777" w:rsidR="00893BDB" w:rsidRPr="00FB7EE4" w:rsidRDefault="00893BDB" w:rsidP="00893BDB">
            <w:pPr>
              <w:rPr>
                <w:rFonts w:ascii="Calibri" w:hAnsi="Calibri"/>
                <w:color w:val="041425" w:themeColor="text1"/>
              </w:rPr>
            </w:pPr>
            <w:r w:rsidRPr="00FB7EE4">
              <w:rPr>
                <w:rFonts w:ascii="Calibri" w:hAnsi="Calibri"/>
                <w:color w:val="041425" w:themeColor="text1"/>
              </w:rPr>
              <w:t xml:space="preserve">LDSOs recognise the importance of valid and fit for purpose NFR testing, similarly the unnecessary costs if this is performed to incorrect parameters and metrics, especially when such thresholds can never be met. </w:t>
            </w:r>
          </w:p>
          <w:p w14:paraId="5A1CC11B" w14:textId="77777777" w:rsidR="00893BDB" w:rsidRPr="00FB7EE4" w:rsidRDefault="00893BDB" w:rsidP="00893BDB">
            <w:pPr>
              <w:rPr>
                <w:rFonts w:ascii="Calibri" w:hAnsi="Calibri"/>
                <w:color w:val="041425" w:themeColor="text1"/>
              </w:rPr>
            </w:pPr>
          </w:p>
          <w:p w14:paraId="1C2904F9" w14:textId="77777777" w:rsidR="00893BDB" w:rsidRPr="00FB7EE4" w:rsidRDefault="00893BDB" w:rsidP="00893BDB">
            <w:pPr>
              <w:rPr>
                <w:rFonts w:ascii="Calibri" w:hAnsi="Calibri"/>
                <w:color w:val="041425" w:themeColor="text1"/>
              </w:rPr>
            </w:pPr>
          </w:p>
          <w:p w14:paraId="6CB087F7" w14:textId="77777777" w:rsidR="00893BDB" w:rsidRPr="00FB7EE4" w:rsidRDefault="00893BDB" w:rsidP="00893BDB">
            <w:pPr>
              <w:rPr>
                <w:rFonts w:ascii="Calibri" w:hAnsi="Calibri"/>
                <w:color w:val="041425" w:themeColor="text1"/>
              </w:rPr>
            </w:pPr>
            <w:r w:rsidRPr="00FB7EE4">
              <w:rPr>
                <w:rFonts w:ascii="Calibri" w:hAnsi="Calibri"/>
                <w:color w:val="041425" w:themeColor="text1"/>
              </w:rPr>
              <w:t>Specifically, this CR seeks to:</w:t>
            </w:r>
          </w:p>
          <w:p w14:paraId="4B5D01D2" w14:textId="77777777" w:rsidR="00893BDB" w:rsidRPr="00FB7EE4" w:rsidRDefault="00893BDB" w:rsidP="00893BDB">
            <w:pPr>
              <w:rPr>
                <w:rFonts w:ascii="Calibri" w:hAnsi="Calibri"/>
                <w:color w:val="041425" w:themeColor="text1"/>
              </w:rPr>
            </w:pPr>
          </w:p>
          <w:p w14:paraId="4A1BAF21" w14:textId="32615C85" w:rsidR="00893BDB" w:rsidRPr="00FB7EE4" w:rsidRDefault="00893BDB" w:rsidP="00893BDB">
            <w:pPr>
              <w:pStyle w:val="ListParagraph"/>
              <w:numPr>
                <w:ilvl w:val="0"/>
                <w:numId w:val="39"/>
              </w:numPr>
              <w:rPr>
                <w:rFonts w:ascii="Calibri" w:hAnsi="Calibri"/>
                <w:color w:val="041425" w:themeColor="text1"/>
              </w:rPr>
            </w:pPr>
            <w:r w:rsidRPr="00FB7EE4">
              <w:rPr>
                <w:rFonts w:ascii="Calibri" w:hAnsi="Calibri"/>
                <w:color w:val="041425" w:themeColor="text1"/>
              </w:rPr>
              <w:t>Amend the L4 performance and volumetric NFRs for the UMSO role / service for requirements: E2E1004, E2E1005, E2E1007, E2E1009 &amp; E2E1011.</w:t>
            </w:r>
          </w:p>
          <w:p w14:paraId="3F5542EB" w14:textId="2D547EF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 xml:space="preserve">Apply the </w:t>
            </w:r>
            <w:r w:rsidR="0033767B" w:rsidRPr="00FB7EE4">
              <w:rPr>
                <w:rFonts w:ascii="Calibri" w:hAnsi="Calibri"/>
                <w:color w:val="041425" w:themeColor="text1"/>
              </w:rPr>
              <w:t xml:space="preserve">UMSO </w:t>
            </w:r>
            <w:r w:rsidRPr="00FB7EE4">
              <w:rPr>
                <w:rFonts w:ascii="Calibri" w:hAnsi="Calibri"/>
                <w:color w:val="041425" w:themeColor="text1"/>
              </w:rPr>
              <w:t xml:space="preserve">portfolio coefficient of each individual LDSO party to each of the above requirements </w:t>
            </w:r>
          </w:p>
          <w:p w14:paraId="231A56AA" w14:textId="7958E31F"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The volume of UMSO MPAN in the market is a de minimis amount</w:t>
            </w:r>
            <w:r w:rsidRPr="00FB7EE4">
              <w:rPr>
                <w:rStyle w:val="FootnoteReference"/>
                <w:rFonts w:ascii="Calibri" w:hAnsi="Calibri"/>
                <w:color w:val="041425" w:themeColor="text1"/>
              </w:rPr>
              <w:footnoteReference w:id="2"/>
            </w:r>
            <w:r w:rsidRPr="00FB7EE4">
              <w:rPr>
                <w:rFonts w:ascii="Calibri" w:hAnsi="Calibri"/>
                <w:color w:val="041425" w:themeColor="text1"/>
              </w:rPr>
              <w:t xml:space="preserve"> and performance testing without this CR </w:t>
            </w:r>
            <w:r w:rsidR="009E76EE" w:rsidRPr="00FB7EE4">
              <w:rPr>
                <w:rFonts w:ascii="Calibri" w:hAnsi="Calibri"/>
                <w:color w:val="041425" w:themeColor="text1"/>
              </w:rPr>
              <w:t>is currently</w:t>
            </w:r>
            <w:r w:rsidRPr="00FB7EE4">
              <w:rPr>
                <w:rFonts w:ascii="Calibri" w:hAnsi="Calibri"/>
                <w:color w:val="041425" w:themeColor="text1"/>
              </w:rPr>
              <w:t xml:space="preserve"> disproportionate, and onerous for such volumes.</w:t>
            </w:r>
          </w:p>
          <w:p w14:paraId="447B6AC9" w14:textId="77777777" w:rsidR="00893BDB" w:rsidRPr="00FB7EE4" w:rsidRDefault="00893BDB" w:rsidP="00DB7A34">
            <w:pPr>
              <w:ind w:left="720"/>
              <w:rPr>
                <w:color w:val="041425" w:themeColor="text1"/>
              </w:rPr>
            </w:pPr>
          </w:p>
          <w:p w14:paraId="4DBC6F3F" w14:textId="53B26D5D" w:rsidR="00893BDB" w:rsidRPr="00FB7EE4" w:rsidRDefault="00893BDB" w:rsidP="00DB7A34">
            <w:pPr>
              <w:ind w:left="720"/>
              <w:rPr>
                <w:rFonts w:ascii="Calibri" w:eastAsia="Times New Roman" w:hAnsi="Calibri" w:cs="Calibri"/>
                <w:color w:val="041425" w:themeColor="text1"/>
              </w:rPr>
            </w:pPr>
            <w:r w:rsidRPr="00FB7EE4">
              <w:rPr>
                <w:rStyle w:val="FootnoteReference"/>
                <w:rFonts w:ascii="Calibri" w:hAnsi="Calibri" w:cs="Calibri"/>
                <w:color w:val="041425" w:themeColor="text1"/>
              </w:rPr>
              <w:footnoteRef/>
            </w:r>
            <w:r w:rsidRPr="00FB7EE4">
              <w:rPr>
                <w:rFonts w:ascii="Calibri" w:hAnsi="Calibri" w:cs="Calibri"/>
                <w:color w:val="041425" w:themeColor="text1"/>
              </w:rPr>
              <w:t xml:space="preserve"> For example, Electricity </w:t>
            </w:r>
            <w:proofErr w:type="gramStart"/>
            <w:r w:rsidRPr="00FB7EE4">
              <w:rPr>
                <w:rFonts w:ascii="Calibri" w:hAnsi="Calibri" w:cs="Calibri"/>
                <w:color w:val="041425" w:themeColor="text1"/>
              </w:rPr>
              <w:t>North West</w:t>
            </w:r>
            <w:proofErr w:type="gramEnd"/>
            <w:r w:rsidRPr="00FB7EE4">
              <w:rPr>
                <w:rFonts w:ascii="Calibri" w:hAnsi="Calibri" w:cs="Calibri"/>
                <w:color w:val="041425" w:themeColor="text1"/>
              </w:rPr>
              <w:t xml:space="preserve"> has an approximate total of 1,000 Unmetered MPANs for 1 Distribution region; UK Power Networks has an approximate total of 6,900 Unmetered MPANs spread across 3 Distribution regions.</w:t>
            </w:r>
          </w:p>
          <w:p w14:paraId="51048FA3" w14:textId="77777777" w:rsidR="00893BDB" w:rsidRPr="00FB7EE4" w:rsidRDefault="00893BDB" w:rsidP="00893BDB">
            <w:pPr>
              <w:pStyle w:val="ListParagraph"/>
              <w:rPr>
                <w:rFonts w:ascii="Calibri" w:eastAsiaTheme="minorHAnsi" w:hAnsi="Calibri"/>
                <w:color w:val="041425" w:themeColor="text1"/>
              </w:rPr>
            </w:pPr>
          </w:p>
          <w:p w14:paraId="3707528E" w14:textId="5734F2E9" w:rsidR="00893BDB" w:rsidRPr="00FB7EE4" w:rsidRDefault="00893BDB" w:rsidP="0033767B">
            <w:pPr>
              <w:pStyle w:val="ListParagraph"/>
              <w:numPr>
                <w:ilvl w:val="0"/>
                <w:numId w:val="39"/>
              </w:numPr>
              <w:rPr>
                <w:rFonts w:ascii="Calibri" w:hAnsi="Calibri"/>
                <w:color w:val="041425" w:themeColor="text1"/>
              </w:rPr>
            </w:pPr>
            <w:r w:rsidRPr="00FB7EE4">
              <w:rPr>
                <w:rFonts w:ascii="Calibri" w:hAnsi="Calibri"/>
                <w:color w:val="041425" w:themeColor="text1"/>
              </w:rPr>
              <w:t xml:space="preserve">Remove </w:t>
            </w:r>
            <w:r w:rsidR="00CF5F28" w:rsidRPr="00FB7EE4">
              <w:rPr>
                <w:rFonts w:ascii="Calibri" w:hAnsi="Calibri"/>
                <w:color w:val="041425" w:themeColor="text1"/>
              </w:rPr>
              <w:t>PUB-013, PUB-014,</w:t>
            </w:r>
            <w:r w:rsidR="0083484B" w:rsidRPr="00FB7EE4">
              <w:rPr>
                <w:rFonts w:ascii="Calibri" w:hAnsi="Calibri"/>
                <w:color w:val="041425" w:themeColor="text1"/>
              </w:rPr>
              <w:t xml:space="preserve"> PUB-021, REP002, REP002A, </w:t>
            </w:r>
            <w:r w:rsidRPr="00FB7EE4">
              <w:rPr>
                <w:rFonts w:ascii="Calibri" w:hAnsi="Calibri"/>
                <w:color w:val="041425" w:themeColor="text1"/>
              </w:rPr>
              <w:t xml:space="preserve">REP900 &amp; REP901 used in </w:t>
            </w:r>
            <w:proofErr w:type="spellStart"/>
            <w:r w:rsidRPr="00FB7EE4">
              <w:rPr>
                <w:rFonts w:ascii="Calibri" w:hAnsi="Calibri"/>
                <w:color w:val="041425" w:themeColor="text1"/>
              </w:rPr>
              <w:t>DUoS</w:t>
            </w:r>
            <w:proofErr w:type="spellEnd"/>
            <w:r w:rsidRPr="00FB7EE4">
              <w:rPr>
                <w:rFonts w:ascii="Calibri" w:hAnsi="Calibri"/>
                <w:color w:val="041425" w:themeColor="text1"/>
              </w:rPr>
              <w:t xml:space="preserve"> billing</w:t>
            </w:r>
            <w:r w:rsidR="00975284" w:rsidRPr="00FB7EE4">
              <w:rPr>
                <w:rFonts w:ascii="Calibri" w:hAnsi="Calibri"/>
                <w:color w:val="041425" w:themeColor="text1"/>
              </w:rPr>
              <w:t xml:space="preserve"> by LDSOs</w:t>
            </w:r>
            <w:r w:rsidRPr="00FB7EE4">
              <w:rPr>
                <w:rFonts w:ascii="Calibri" w:hAnsi="Calibri"/>
                <w:color w:val="041425" w:themeColor="text1"/>
              </w:rPr>
              <w:t xml:space="preserve"> from the scope of NFR</w:t>
            </w:r>
            <w:r w:rsidR="008272E2" w:rsidRPr="00FB7EE4">
              <w:rPr>
                <w:rFonts w:ascii="Calibri" w:hAnsi="Calibri"/>
                <w:color w:val="041425" w:themeColor="text1"/>
              </w:rPr>
              <w:t xml:space="preserve"> requirements: </w:t>
            </w:r>
            <w:r w:rsidR="0033767B" w:rsidRPr="00FB7EE4">
              <w:rPr>
                <w:rFonts w:ascii="Calibri" w:hAnsi="Calibri"/>
                <w:color w:val="041425" w:themeColor="text1"/>
              </w:rPr>
              <w:t>E2E1004, E2E1005, E2E1007, E2E1009 &amp; E2E1011</w:t>
            </w:r>
            <w:r w:rsidRPr="00FB7EE4">
              <w:rPr>
                <w:rFonts w:ascii="Calibri" w:hAnsi="Calibri"/>
                <w:color w:val="041425" w:themeColor="text1"/>
              </w:rPr>
              <w:t>.</w:t>
            </w:r>
          </w:p>
          <w:p w14:paraId="455ED81A" w14:textId="16010F59" w:rsidR="00036639" w:rsidRPr="00FB7EE4" w:rsidRDefault="00036639" w:rsidP="00036639">
            <w:pPr>
              <w:pStyle w:val="ListParagraph"/>
              <w:numPr>
                <w:ilvl w:val="1"/>
                <w:numId w:val="39"/>
              </w:numPr>
              <w:rPr>
                <w:rFonts w:ascii="Calibri" w:eastAsiaTheme="minorHAnsi" w:hAnsi="Calibri"/>
                <w:color w:val="041425" w:themeColor="text1"/>
              </w:rPr>
            </w:pPr>
            <w:r w:rsidRPr="00FB7EE4">
              <w:rPr>
                <w:rFonts w:ascii="Calibri" w:hAnsi="Calibri"/>
                <w:color w:val="041425" w:themeColor="text1"/>
              </w:rPr>
              <w:t xml:space="preserve">DUoS billing does not receive any messages </w:t>
            </w:r>
            <w:proofErr w:type="gramStart"/>
            <w:r w:rsidRPr="00FB7EE4">
              <w:rPr>
                <w:rFonts w:ascii="Calibri" w:hAnsi="Calibri"/>
                <w:color w:val="041425" w:themeColor="text1"/>
              </w:rPr>
              <w:t>as a result of</w:t>
            </w:r>
            <w:proofErr w:type="gramEnd"/>
            <w:r w:rsidRPr="00FB7EE4">
              <w:rPr>
                <w:rFonts w:ascii="Calibri" w:hAnsi="Calibri"/>
                <w:color w:val="041425" w:themeColor="text1"/>
              </w:rPr>
              <w:t xml:space="preserve"> a MPAN switch or a Migration Event and therefore the vo</w:t>
            </w:r>
            <w:r w:rsidR="00797D6F" w:rsidRPr="00FB7EE4">
              <w:rPr>
                <w:rFonts w:ascii="Calibri" w:hAnsi="Calibri"/>
                <w:color w:val="041425" w:themeColor="text1"/>
              </w:rPr>
              <w:t>lumetric requirements of E2E1004, E2E1005, E2E1007, E2E1009 &amp; E2E1011 do not apply</w:t>
            </w:r>
            <w:r w:rsidR="007A69CC" w:rsidRPr="00FB7EE4">
              <w:rPr>
                <w:rFonts w:ascii="Calibri" w:hAnsi="Calibri"/>
                <w:color w:val="041425" w:themeColor="text1"/>
              </w:rPr>
              <w:t>:</w:t>
            </w:r>
          </w:p>
          <w:p w14:paraId="322C937C" w14:textId="77777777" w:rsidR="00646ADC" w:rsidRPr="00FB7EE4" w:rsidRDefault="00646ADC" w:rsidP="00646ADC">
            <w:pPr>
              <w:pStyle w:val="ListParagraph"/>
              <w:numPr>
                <w:ilvl w:val="2"/>
                <w:numId w:val="39"/>
              </w:numPr>
              <w:rPr>
                <w:rFonts w:ascii="Calibri" w:hAnsi="Calibri"/>
                <w:color w:val="041425" w:themeColor="text1"/>
              </w:rPr>
            </w:pPr>
            <w:r w:rsidRPr="00FB7EE4">
              <w:rPr>
                <w:rFonts w:ascii="Calibri" w:hAnsi="Calibri"/>
                <w:color w:val="041425" w:themeColor="text1"/>
              </w:rPr>
              <w:t>PUB-013 messages are only issued in the absence of consumption data i.e. where consumption data cannot be obtained from the Half Hour metering system</w:t>
            </w:r>
          </w:p>
          <w:p w14:paraId="7322BAAF" w14:textId="2D726E9C" w:rsidR="00646ADC" w:rsidRPr="00FB7EE4" w:rsidRDefault="00646ADC" w:rsidP="00646ADC">
            <w:pPr>
              <w:pStyle w:val="ListParagraph"/>
              <w:numPr>
                <w:ilvl w:val="2"/>
                <w:numId w:val="39"/>
              </w:numPr>
              <w:rPr>
                <w:rFonts w:ascii="Calibri" w:hAnsi="Calibri"/>
                <w:color w:val="041425" w:themeColor="text1"/>
              </w:rPr>
            </w:pPr>
            <w:r w:rsidRPr="00FB7EE4">
              <w:rPr>
                <w:rFonts w:ascii="Calibri" w:hAnsi="Calibri"/>
                <w:color w:val="041425" w:themeColor="text1"/>
              </w:rPr>
              <w:t xml:space="preserve">PUB-014 messages are only issued where MDS has cause to Reject the proposed Consumption Submission or to warn of consumption being sent on a de-energised MPAN. </w:t>
            </w:r>
          </w:p>
          <w:p w14:paraId="58B01183" w14:textId="251D2278" w:rsidR="000E188C" w:rsidRPr="00FB7EE4" w:rsidRDefault="00646ADC" w:rsidP="00646ADC">
            <w:pPr>
              <w:pStyle w:val="ListParagraph"/>
              <w:numPr>
                <w:ilvl w:val="2"/>
                <w:numId w:val="39"/>
              </w:numPr>
              <w:rPr>
                <w:rFonts w:ascii="Calibri" w:hAnsi="Calibri"/>
                <w:color w:val="041425" w:themeColor="text1"/>
              </w:rPr>
            </w:pPr>
            <w:r w:rsidRPr="00FB7EE4">
              <w:rPr>
                <w:rFonts w:ascii="Calibri" w:hAnsi="Calibri"/>
                <w:color w:val="041425" w:themeColor="text1"/>
              </w:rPr>
              <w:t>PUB-021 messages are only sent for meters which are not Whole Current</w:t>
            </w:r>
            <w:r w:rsidR="004B6C07" w:rsidRPr="00FB7EE4">
              <w:rPr>
                <w:rFonts w:ascii="Calibri" w:hAnsi="Calibri"/>
                <w:color w:val="041425" w:themeColor="text1"/>
              </w:rPr>
              <w:t xml:space="preserve"> metered</w:t>
            </w:r>
          </w:p>
          <w:p w14:paraId="1660C616" w14:textId="7A665581" w:rsidR="00646ADC" w:rsidRPr="00FB7EE4" w:rsidRDefault="00646ADC" w:rsidP="00646ADC">
            <w:pPr>
              <w:pStyle w:val="ListParagraph"/>
              <w:numPr>
                <w:ilvl w:val="2"/>
                <w:numId w:val="39"/>
              </w:numPr>
              <w:rPr>
                <w:rFonts w:ascii="Calibri" w:hAnsi="Calibri"/>
                <w:color w:val="041425" w:themeColor="text1"/>
              </w:rPr>
            </w:pPr>
            <w:r w:rsidRPr="00FB7EE4">
              <w:rPr>
                <w:rFonts w:ascii="Calibri" w:hAnsi="Calibri"/>
                <w:color w:val="041425" w:themeColor="text1"/>
              </w:rPr>
              <w:t>REP002A, REP002B volumes are related to the number of Suppliers/Settlement runs and are not related to</w:t>
            </w:r>
            <w:r w:rsidR="008F28C7" w:rsidRPr="00FB7EE4">
              <w:rPr>
                <w:rFonts w:ascii="Calibri" w:hAnsi="Calibri"/>
                <w:color w:val="041425" w:themeColor="text1"/>
              </w:rPr>
              <w:t xml:space="preserve"> the</w:t>
            </w:r>
            <w:r w:rsidRPr="00FB7EE4">
              <w:rPr>
                <w:rFonts w:ascii="Calibri" w:hAnsi="Calibri"/>
                <w:color w:val="041425" w:themeColor="text1"/>
              </w:rPr>
              <w:t xml:space="preserve"> overall number of registered MPANS</w:t>
            </w:r>
          </w:p>
          <w:p w14:paraId="199BECDF" w14:textId="4C3FC37C" w:rsidR="00646ADC" w:rsidRPr="00FB7EE4" w:rsidRDefault="00646ADC" w:rsidP="00646ADC">
            <w:pPr>
              <w:pStyle w:val="ListParagraph"/>
              <w:numPr>
                <w:ilvl w:val="2"/>
                <w:numId w:val="39"/>
              </w:numPr>
              <w:rPr>
                <w:rFonts w:ascii="Calibri" w:hAnsi="Calibri"/>
                <w:color w:val="041425" w:themeColor="text1"/>
              </w:rPr>
            </w:pPr>
            <w:r w:rsidRPr="00FB7EE4">
              <w:rPr>
                <w:rFonts w:ascii="Calibri" w:hAnsi="Calibri"/>
                <w:color w:val="041425" w:themeColor="text1"/>
              </w:rPr>
              <w:lastRenderedPageBreak/>
              <w:t>REP900, REP901 volumes are related to the number of meters which are not Whole Current</w:t>
            </w:r>
            <w:r w:rsidR="004B6C07" w:rsidRPr="00FB7EE4">
              <w:rPr>
                <w:rFonts w:ascii="Calibri" w:hAnsi="Calibri"/>
                <w:color w:val="041425" w:themeColor="text1"/>
              </w:rPr>
              <w:t xml:space="preserve"> metered</w:t>
            </w:r>
            <w:r w:rsidR="004603C5" w:rsidRPr="00FB7EE4">
              <w:rPr>
                <w:rFonts w:ascii="Calibri" w:hAnsi="Calibri"/>
                <w:color w:val="041425" w:themeColor="text1"/>
              </w:rPr>
              <w:t xml:space="preserve"> for Site Specific billing and to </w:t>
            </w:r>
            <w:r w:rsidR="00023D77" w:rsidRPr="00FB7EE4">
              <w:rPr>
                <w:rFonts w:ascii="Calibri" w:hAnsi="Calibri"/>
                <w:color w:val="041425" w:themeColor="text1"/>
              </w:rPr>
              <w:t xml:space="preserve">the </w:t>
            </w:r>
            <w:r w:rsidR="004603C5" w:rsidRPr="00FB7EE4">
              <w:rPr>
                <w:rFonts w:ascii="Calibri" w:hAnsi="Calibri"/>
                <w:color w:val="041425" w:themeColor="text1"/>
              </w:rPr>
              <w:t>number of Suppliers/Settlement runs</w:t>
            </w:r>
            <w:r w:rsidR="007A69CC" w:rsidRPr="00FB7EE4">
              <w:rPr>
                <w:rFonts w:ascii="Calibri" w:hAnsi="Calibri"/>
                <w:color w:val="041425" w:themeColor="text1"/>
              </w:rPr>
              <w:t xml:space="preserve"> for Whole Current metered</w:t>
            </w:r>
            <w:r w:rsidRPr="00FB7EE4">
              <w:rPr>
                <w:rFonts w:ascii="Calibri" w:hAnsi="Calibri"/>
                <w:color w:val="041425" w:themeColor="text1"/>
              </w:rPr>
              <w:t xml:space="preserve"> </w:t>
            </w:r>
          </w:p>
          <w:p w14:paraId="2EF6F278"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DUoS billing arrangements are governed by DCUSA.</w:t>
            </w:r>
          </w:p>
          <w:p w14:paraId="52C0BA1D"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Inputs to DUoS billing do not generate time or performance critical responses to the DIP. Settlements data is received into DUoS daily, but billing is only actioned once a full billing period (a month’s) worth of data has been received.</w:t>
            </w:r>
          </w:p>
          <w:p w14:paraId="46B0C02E"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It is in LDSO best interests to ensure the inputs are processed and supplier bills are produced in a timely manner.</w:t>
            </w:r>
          </w:p>
          <w:p w14:paraId="1BD27260" w14:textId="77777777" w:rsidR="00893BDB" w:rsidRPr="00FB7EE4" w:rsidRDefault="00893BDB" w:rsidP="00893BDB">
            <w:pPr>
              <w:pStyle w:val="ListParagraph"/>
              <w:rPr>
                <w:rFonts w:ascii="Calibri" w:hAnsi="Calibri"/>
                <w:b/>
                <w:bCs/>
                <w:color w:val="041425" w:themeColor="text1"/>
              </w:rPr>
            </w:pPr>
          </w:p>
          <w:p w14:paraId="737A861E" w14:textId="77777777" w:rsidR="00893BDB" w:rsidRPr="00FB7EE4" w:rsidRDefault="00893BDB" w:rsidP="00893BDB">
            <w:pPr>
              <w:pStyle w:val="ListParagraph"/>
              <w:numPr>
                <w:ilvl w:val="0"/>
                <w:numId w:val="39"/>
              </w:numPr>
              <w:rPr>
                <w:rFonts w:ascii="Calibri" w:hAnsi="Calibri"/>
                <w:b/>
                <w:bCs/>
                <w:color w:val="041425" w:themeColor="text1"/>
              </w:rPr>
            </w:pPr>
            <w:r w:rsidRPr="00FB7EE4">
              <w:rPr>
                <w:rFonts w:ascii="Calibri" w:hAnsi="Calibri"/>
                <w:b/>
                <w:bCs/>
                <w:color w:val="041425" w:themeColor="text1"/>
              </w:rPr>
              <w:t>E2E1004</w:t>
            </w:r>
          </w:p>
          <w:p w14:paraId="3E782469" w14:textId="2D77CC01"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 xml:space="preserve">Update this NFR to expressly state each participant’s individual </w:t>
            </w:r>
            <w:r w:rsidR="004F61DD" w:rsidRPr="00FB7EE4">
              <w:rPr>
                <w:rFonts w:ascii="Calibri" w:hAnsi="Calibri"/>
                <w:color w:val="041425" w:themeColor="text1"/>
              </w:rPr>
              <w:t xml:space="preserve">MPAN </w:t>
            </w:r>
            <w:r w:rsidRPr="00FB7EE4">
              <w:rPr>
                <w:rFonts w:ascii="Calibri" w:hAnsi="Calibri"/>
                <w:color w:val="041425" w:themeColor="text1"/>
              </w:rPr>
              <w:t>portfolio coefficient needs to be applied.</w:t>
            </w:r>
          </w:p>
          <w:p w14:paraId="22199F32" w14:textId="77777777" w:rsidR="00893BDB" w:rsidRPr="00FB7EE4" w:rsidRDefault="00893BDB" w:rsidP="00893BDB">
            <w:pPr>
              <w:rPr>
                <w:rFonts w:ascii="Calibri" w:hAnsi="Calibri"/>
                <w:color w:val="041425" w:themeColor="text1"/>
              </w:rPr>
            </w:pPr>
          </w:p>
          <w:p w14:paraId="4BFD0CD7" w14:textId="77777777" w:rsidR="00893BDB" w:rsidRPr="00FB7EE4" w:rsidRDefault="00893BDB" w:rsidP="00893BDB">
            <w:pPr>
              <w:pStyle w:val="ListParagraph"/>
              <w:numPr>
                <w:ilvl w:val="0"/>
                <w:numId w:val="39"/>
              </w:numPr>
              <w:rPr>
                <w:rFonts w:ascii="Calibri" w:hAnsi="Calibri"/>
                <w:b/>
                <w:bCs/>
                <w:color w:val="041425" w:themeColor="text1"/>
              </w:rPr>
            </w:pPr>
            <w:r w:rsidRPr="00FB7EE4">
              <w:rPr>
                <w:rFonts w:ascii="Calibri" w:hAnsi="Calibri"/>
                <w:b/>
                <w:bCs/>
                <w:color w:val="041425" w:themeColor="text1"/>
              </w:rPr>
              <w:t>E2E1005</w:t>
            </w:r>
          </w:p>
          <w:p w14:paraId="45E27F7A"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The quoted figure of 2.1M is understood to be based on a 300,000 Peak Daily Switch volume for CSS, with 7 DIP messages resulting from each switch event. It is incorrect to use the CSS Peak Volume as this includes switching activity for both Electricity and Gas metering points.</w:t>
            </w:r>
          </w:p>
          <w:p w14:paraId="1D415053" w14:textId="77777777" w:rsidR="00893BDB" w:rsidRPr="00FB7EE4" w:rsidRDefault="00893BDB" w:rsidP="00893BDB">
            <w:pPr>
              <w:pStyle w:val="ListParagraph"/>
              <w:ind w:left="1440"/>
              <w:rPr>
                <w:rFonts w:ascii="Calibri" w:hAnsi="Calibri"/>
                <w:color w:val="041425" w:themeColor="text1"/>
              </w:rPr>
            </w:pPr>
          </w:p>
          <w:p w14:paraId="6DB3544B"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The Peak Daily Switches is specified in CSS NFR PERF160:</w:t>
            </w:r>
          </w:p>
          <w:p w14:paraId="13B5C0C7" w14:textId="77777777" w:rsidR="00893BDB" w:rsidRPr="00FB7EE4" w:rsidRDefault="00893BDB" w:rsidP="00893BDB">
            <w:pPr>
              <w:pStyle w:val="ListParagraph"/>
              <w:ind w:left="1440"/>
              <w:rPr>
                <w:rFonts w:ascii="Calibri" w:hAnsi="Calibri"/>
                <w:color w:val="041425" w:themeColor="text1"/>
              </w:rPr>
            </w:pPr>
          </w:p>
          <w:p w14:paraId="3EB14BC3" w14:textId="77777777" w:rsidR="00893BDB" w:rsidRPr="00FB7EE4" w:rsidRDefault="00893BDB" w:rsidP="00893BDB">
            <w:pPr>
              <w:ind w:left="1440"/>
              <w:rPr>
                <w:rFonts w:ascii="Verdana" w:eastAsia="Times New Roman" w:hAnsi="Verdana"/>
                <w:i/>
                <w:color w:val="041425" w:themeColor="text1"/>
                <w:szCs w:val="20"/>
                <w:lang w:eastAsia="en-GB"/>
              </w:rPr>
            </w:pPr>
            <w:r w:rsidRPr="00FB7EE4">
              <w:rPr>
                <w:rFonts w:ascii="Verdana" w:eastAsia="Times New Roman" w:hAnsi="Verdana"/>
                <w:i/>
                <w:color w:val="041425" w:themeColor="text1"/>
                <w:szCs w:val="20"/>
                <w:lang w:eastAsia="en-GB"/>
              </w:rPr>
              <w:t>The system shall be capable of processing as a minimum the following volumes of switch requests:</w:t>
            </w:r>
            <w:r w:rsidRPr="00FB7EE4">
              <w:rPr>
                <w:rFonts w:ascii="Verdana" w:eastAsia="Times New Roman" w:hAnsi="Verdana"/>
                <w:i/>
                <w:color w:val="041425" w:themeColor="text1"/>
                <w:szCs w:val="20"/>
                <w:lang w:eastAsia="en-GB"/>
              </w:rPr>
              <w:br/>
              <w:t>- average daily volume of 42,300</w:t>
            </w:r>
            <w:r w:rsidRPr="00FB7EE4">
              <w:rPr>
                <w:rFonts w:ascii="Verdana" w:eastAsia="Times New Roman" w:hAnsi="Verdana"/>
                <w:i/>
                <w:color w:val="041425" w:themeColor="text1"/>
                <w:szCs w:val="20"/>
                <w:lang w:eastAsia="en-GB"/>
              </w:rPr>
              <w:br/>
              <w:t>- peak daily volume of 281,600</w:t>
            </w:r>
            <w:r w:rsidRPr="00FB7EE4">
              <w:rPr>
                <w:rFonts w:ascii="Verdana" w:eastAsia="Times New Roman" w:hAnsi="Verdana"/>
                <w:i/>
                <w:color w:val="041425" w:themeColor="text1"/>
                <w:szCs w:val="20"/>
                <w:lang w:eastAsia="en-GB"/>
              </w:rPr>
              <w:br/>
              <w:t>- average hourly volume of 3,500</w:t>
            </w:r>
            <w:r w:rsidRPr="00FB7EE4">
              <w:rPr>
                <w:rFonts w:ascii="Verdana" w:eastAsia="Times New Roman" w:hAnsi="Verdana"/>
                <w:i/>
                <w:color w:val="041425" w:themeColor="text1"/>
                <w:szCs w:val="20"/>
                <w:lang w:eastAsia="en-GB"/>
              </w:rPr>
              <w:br/>
              <w:t>- peak hourly volume of 25,300</w:t>
            </w:r>
            <w:r w:rsidRPr="00FB7EE4">
              <w:rPr>
                <w:rFonts w:ascii="Verdana" w:eastAsia="Times New Roman" w:hAnsi="Verdana"/>
                <w:i/>
                <w:color w:val="041425" w:themeColor="text1"/>
                <w:szCs w:val="20"/>
                <w:lang w:eastAsia="en-GB"/>
              </w:rPr>
              <w:br/>
              <w:t>- annual volume of 15,450,000</w:t>
            </w:r>
          </w:p>
          <w:p w14:paraId="32B45DE5" w14:textId="77777777" w:rsidR="00893BDB" w:rsidRPr="00FB7EE4" w:rsidRDefault="00893BDB" w:rsidP="00893BDB">
            <w:pPr>
              <w:pStyle w:val="ListParagraph"/>
              <w:ind w:left="1440"/>
              <w:rPr>
                <w:rFonts w:ascii="Calibri" w:hAnsi="Calibri"/>
                <w:color w:val="041425" w:themeColor="text1"/>
                <w:sz w:val="22"/>
                <w:szCs w:val="22"/>
                <w14:ligatures w14:val="standardContextual"/>
              </w:rPr>
            </w:pPr>
          </w:p>
          <w:p w14:paraId="4C82DCCD"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 xml:space="preserve">This specifies a total industry volume of 281,600 switch requests. This number being a combined load across both Electricity and </w:t>
            </w:r>
            <w:r w:rsidRPr="00FB7EE4">
              <w:rPr>
                <w:rFonts w:ascii="Calibri" w:hAnsi="Calibri"/>
                <w:bCs/>
                <w:color w:val="041425" w:themeColor="text1"/>
              </w:rPr>
              <w:t>Gas</w:t>
            </w:r>
            <w:r w:rsidRPr="00FB7EE4">
              <w:rPr>
                <w:rFonts w:ascii="Calibri" w:hAnsi="Calibri"/>
                <w:b/>
                <w:color w:val="041425" w:themeColor="text1"/>
              </w:rPr>
              <w:t xml:space="preserve"> </w:t>
            </w:r>
          </w:p>
          <w:p w14:paraId="535D90AB" w14:textId="77777777" w:rsidR="00893BDB" w:rsidRPr="00FB7EE4" w:rsidRDefault="00893BDB" w:rsidP="00893BDB">
            <w:pPr>
              <w:pStyle w:val="ListParagraph"/>
              <w:ind w:left="1440"/>
              <w:rPr>
                <w:rFonts w:ascii="Calibri" w:hAnsi="Calibri"/>
                <w:color w:val="041425" w:themeColor="text1"/>
              </w:rPr>
            </w:pPr>
          </w:p>
          <w:p w14:paraId="4783D50D"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The accepted split between electricity switches vs gas switches is 58% vs 42%</w:t>
            </w:r>
          </w:p>
          <w:p w14:paraId="279120E7" w14:textId="77777777" w:rsidR="00893BDB" w:rsidRPr="00FB7EE4" w:rsidRDefault="00893BDB" w:rsidP="00893BDB">
            <w:pPr>
              <w:pStyle w:val="ListParagraph"/>
              <w:ind w:left="1440"/>
              <w:rPr>
                <w:rFonts w:ascii="Calibri" w:hAnsi="Calibri"/>
                <w:color w:val="041425" w:themeColor="text1"/>
              </w:rPr>
            </w:pPr>
          </w:p>
          <w:p w14:paraId="05A7F4D8"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This gives a Peak value for Electricity Switch Requests of 281,600 * 58% = 163,328</w:t>
            </w:r>
          </w:p>
          <w:p w14:paraId="1768BB6B" w14:textId="77777777" w:rsidR="00893BDB" w:rsidRPr="00FB7EE4" w:rsidRDefault="00893BDB" w:rsidP="00893BDB">
            <w:pPr>
              <w:pStyle w:val="ListParagraph"/>
              <w:ind w:left="1440"/>
              <w:rPr>
                <w:rFonts w:ascii="Calibri" w:hAnsi="Calibri"/>
                <w:color w:val="041425" w:themeColor="text1"/>
              </w:rPr>
            </w:pPr>
          </w:p>
          <w:p w14:paraId="27EAAD26"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Using the figure of 7 messages per switch, this would give a maximum theoretical capacity of 7 * 163,328 = 1,143,296</w:t>
            </w:r>
          </w:p>
          <w:p w14:paraId="710143E6" w14:textId="77777777" w:rsidR="00893BDB" w:rsidRPr="00FB7EE4" w:rsidRDefault="00893BDB" w:rsidP="00893BDB">
            <w:pPr>
              <w:pStyle w:val="ListParagraph"/>
              <w:ind w:left="1440"/>
              <w:rPr>
                <w:rFonts w:ascii="Calibri" w:hAnsi="Calibri"/>
                <w:color w:val="041425" w:themeColor="text1"/>
              </w:rPr>
            </w:pPr>
          </w:p>
          <w:p w14:paraId="5896B821"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The figure of 1.14M (calculated above) should be used instead of the 2.1M</w:t>
            </w:r>
          </w:p>
          <w:p w14:paraId="2922A148"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Expressly state each participant’s individual portfolio coefficient needs to be applied to the revised 1.14M figure.</w:t>
            </w:r>
          </w:p>
          <w:p w14:paraId="30921216"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 xml:space="preserve">Remove reference to annual volumes of 110M as this is irrelevant, as based on the above, this would be achieved in c100 days. </w:t>
            </w:r>
          </w:p>
          <w:p w14:paraId="6ECCA20B" w14:textId="77777777" w:rsidR="00893BDB" w:rsidRPr="00FB7EE4" w:rsidRDefault="00893BDB" w:rsidP="00893BDB">
            <w:pPr>
              <w:pStyle w:val="ListParagraph"/>
              <w:ind w:left="1440"/>
              <w:rPr>
                <w:rFonts w:ascii="Calibri" w:hAnsi="Calibri"/>
                <w:color w:val="041425" w:themeColor="text1"/>
              </w:rPr>
            </w:pPr>
          </w:p>
          <w:p w14:paraId="3B7167D9" w14:textId="77777777" w:rsidR="00893BDB" w:rsidRPr="00FB7EE4" w:rsidRDefault="00893BDB" w:rsidP="00893BDB">
            <w:pPr>
              <w:pStyle w:val="ListParagraph"/>
              <w:rPr>
                <w:rFonts w:ascii="Calibri" w:eastAsiaTheme="minorHAnsi" w:hAnsi="Calibri"/>
                <w:color w:val="041425" w:themeColor="text1"/>
              </w:rPr>
            </w:pPr>
          </w:p>
          <w:p w14:paraId="08A9C062" w14:textId="77777777" w:rsidR="00893BDB" w:rsidRPr="00FB7EE4" w:rsidRDefault="00893BDB" w:rsidP="00893BDB">
            <w:pPr>
              <w:pStyle w:val="ListParagraph"/>
              <w:numPr>
                <w:ilvl w:val="0"/>
                <w:numId w:val="39"/>
              </w:numPr>
              <w:rPr>
                <w:rFonts w:ascii="Calibri" w:hAnsi="Calibri"/>
                <w:b/>
                <w:bCs/>
                <w:color w:val="041425" w:themeColor="text1"/>
              </w:rPr>
            </w:pPr>
            <w:r w:rsidRPr="00FB7EE4">
              <w:rPr>
                <w:rFonts w:ascii="Calibri" w:hAnsi="Calibri"/>
                <w:b/>
                <w:bCs/>
                <w:color w:val="041425" w:themeColor="text1"/>
              </w:rPr>
              <w:t>E2E1007</w:t>
            </w:r>
          </w:p>
          <w:p w14:paraId="73462D31" w14:textId="061A98CC"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This requirement is superseded by E2E1011 and should be removed as a requirement and documents updated as such.</w:t>
            </w:r>
          </w:p>
          <w:p w14:paraId="6640967A" w14:textId="77777777" w:rsidR="00893BDB" w:rsidRPr="00FB7EE4" w:rsidRDefault="00893BDB" w:rsidP="00893BDB">
            <w:pPr>
              <w:pStyle w:val="ListParagraph"/>
              <w:numPr>
                <w:ilvl w:val="1"/>
                <w:numId w:val="39"/>
              </w:numPr>
              <w:rPr>
                <w:rFonts w:ascii="Calibri" w:hAnsi="Calibri"/>
                <w:color w:val="041425" w:themeColor="text1"/>
              </w:rPr>
            </w:pPr>
            <w:r w:rsidRPr="00FB7EE4">
              <w:rPr>
                <w:rFonts w:ascii="Calibri" w:hAnsi="Calibri"/>
                <w:color w:val="041425" w:themeColor="text1"/>
              </w:rPr>
              <w:t xml:space="preserve">E2E1011 should reference the Migration Thresholds Document (DEL1648). As per DEL1648 maximum Migration volumes (and the resulting DIP message volumes) for each LDSOs Registration Service are already defined. </w:t>
            </w:r>
          </w:p>
          <w:p w14:paraId="193F0008" w14:textId="4DE7CE04" w:rsidR="00893BDB" w:rsidRPr="00FB7EE4" w:rsidRDefault="00893BDB" w:rsidP="00893BDB">
            <w:pPr>
              <w:pStyle w:val="MHHSBody"/>
              <w:rPr>
                <w:color w:val="041425" w:themeColor="text1"/>
                <w:shd w:val="clear" w:color="auto" w:fill="E6E6E6"/>
              </w:rPr>
            </w:pPr>
          </w:p>
        </w:tc>
      </w:tr>
      <w:tr w:rsidR="00893BDB" w14:paraId="1C59017E" w14:textId="77777777" w:rsidTr="346DB050">
        <w:trPr>
          <w:trHeight w:val="1515"/>
        </w:trPr>
        <w:tc>
          <w:tcPr>
            <w:tcW w:w="10680" w:type="dxa"/>
            <w:gridSpan w:val="3"/>
            <w:vAlign w:val="top"/>
          </w:tcPr>
          <w:p w14:paraId="5CCCEA94" w14:textId="5A796794" w:rsidR="00893BDB" w:rsidRPr="00FB7EE4" w:rsidRDefault="00893BDB" w:rsidP="00893BDB">
            <w:pPr>
              <w:pStyle w:val="MHHSBody"/>
              <w:spacing w:after="20" w:line="0" w:lineRule="atLeast"/>
              <w:rPr>
                <w:b/>
                <w:bCs/>
                <w:color w:val="041425" w:themeColor="text1"/>
              </w:rPr>
            </w:pPr>
            <w:r w:rsidRPr="00FB7EE4">
              <w:rPr>
                <w:b/>
                <w:bCs/>
                <w:color w:val="041425" w:themeColor="text1"/>
              </w:rPr>
              <w:lastRenderedPageBreak/>
              <w:t xml:space="preserve">Desired implementation date and rationale: </w:t>
            </w:r>
          </w:p>
          <w:p w14:paraId="3C5006E8" w14:textId="6362D19F" w:rsidR="00893BDB" w:rsidRPr="00FB7EE4" w:rsidRDefault="00893BDB" w:rsidP="00893BDB">
            <w:pPr>
              <w:pStyle w:val="MHHSBody"/>
              <w:spacing w:after="20" w:line="0" w:lineRule="atLeast"/>
              <w:rPr>
                <w:i/>
                <w:iCs/>
                <w:color w:val="041425" w:themeColor="text1"/>
                <w:sz w:val="16"/>
                <w:szCs w:val="16"/>
              </w:rPr>
            </w:pPr>
            <w:r w:rsidRPr="00FB7EE4">
              <w:rPr>
                <w:i/>
                <w:iCs/>
                <w:color w:val="041425" w:themeColor="text1"/>
                <w:sz w:val="16"/>
                <w:szCs w:val="16"/>
              </w:rPr>
              <w:t>(proposed implementation date of the change and why this date is required)</w:t>
            </w:r>
          </w:p>
          <w:p w14:paraId="34F61572" w14:textId="77777777" w:rsidR="002379FE" w:rsidRPr="00FB7EE4" w:rsidRDefault="002379FE" w:rsidP="002379FE">
            <w:pPr>
              <w:pStyle w:val="MHHSBody"/>
              <w:spacing w:after="20" w:line="0" w:lineRule="atLeast"/>
              <w:rPr>
                <w:rFonts w:ascii="Calibri" w:hAnsi="Calibri"/>
                <w:color w:val="041425" w:themeColor="text1"/>
              </w:rPr>
            </w:pPr>
            <w:r w:rsidRPr="00FB7EE4">
              <w:rPr>
                <w:rFonts w:ascii="Calibri" w:hAnsi="Calibri"/>
                <w:color w:val="041425" w:themeColor="text1"/>
              </w:rPr>
              <w:t>This CR would be required to be implemented ahead of M10 and specifically before the completion of Non-Functional PIT testing (30 September 2024).</w:t>
            </w:r>
          </w:p>
          <w:p w14:paraId="5FA1767A" w14:textId="77777777" w:rsidR="002379FE" w:rsidRPr="00FB7EE4" w:rsidRDefault="002379FE" w:rsidP="002379FE">
            <w:pPr>
              <w:pStyle w:val="MHHSBody"/>
              <w:spacing w:after="20" w:line="0" w:lineRule="atLeast"/>
              <w:rPr>
                <w:b/>
                <w:bCs/>
                <w:color w:val="041425" w:themeColor="text1"/>
              </w:rPr>
            </w:pPr>
          </w:p>
          <w:p w14:paraId="504B1746" w14:textId="77777777" w:rsidR="002379FE" w:rsidRPr="00FB7EE4" w:rsidRDefault="002379FE" w:rsidP="002379FE">
            <w:pPr>
              <w:rPr>
                <w:rFonts w:ascii="Calibri" w:hAnsi="Calibri"/>
                <w:color w:val="041425" w:themeColor="text1"/>
              </w:rPr>
            </w:pPr>
            <w:r w:rsidRPr="00FB7EE4">
              <w:rPr>
                <w:rFonts w:ascii="Calibri" w:hAnsi="Calibri"/>
                <w:color w:val="041425" w:themeColor="text1"/>
              </w:rPr>
              <w:t xml:space="preserve">LDSOs will not attempt to prove the currently stated NFR volumes during Non-Functional PIT testing, which will then require a decision from the Programme and Code Bodies with respect to LDSOs achieving the Qualification Test entry criteria. </w:t>
            </w:r>
          </w:p>
          <w:p w14:paraId="26EAE4D2" w14:textId="17D67E32" w:rsidR="00893BDB" w:rsidRPr="00FB7EE4" w:rsidRDefault="00893BDB" w:rsidP="00893BDB">
            <w:pPr>
              <w:pStyle w:val="MHHSBody"/>
              <w:spacing w:after="20" w:line="0" w:lineRule="atLeast"/>
              <w:rPr>
                <w:b/>
                <w:bCs/>
                <w:color w:val="041425" w:themeColor="text1"/>
              </w:rPr>
            </w:pPr>
          </w:p>
        </w:tc>
      </w:tr>
      <w:tr w:rsidR="00893BDB" w14:paraId="3C8E66E6" w14:textId="77777777" w:rsidTr="346DB050">
        <w:trPr>
          <w:trHeight w:val="374"/>
        </w:trPr>
        <w:tc>
          <w:tcPr>
            <w:tcW w:w="6941" w:type="dxa"/>
            <w:vMerge w:val="restart"/>
            <w:vAlign w:val="top"/>
          </w:tcPr>
          <w:p w14:paraId="5F3AD323" w14:textId="1576FDBC" w:rsidR="00893BDB" w:rsidRPr="00FB7EE4" w:rsidRDefault="00893BDB" w:rsidP="00893BDB">
            <w:pPr>
              <w:pStyle w:val="MHHSBody"/>
              <w:spacing w:after="20" w:line="0" w:lineRule="atLeast"/>
              <w:rPr>
                <w:b/>
                <w:bCs/>
                <w:color w:val="041425" w:themeColor="text1"/>
              </w:rPr>
            </w:pPr>
            <w:r w:rsidRPr="00FB7EE4">
              <w:rPr>
                <w:b/>
                <w:bCs/>
                <w:color w:val="041425" w:themeColor="text1"/>
              </w:rPr>
              <w:lastRenderedPageBreak/>
              <w:t>Justification for change:</w:t>
            </w:r>
          </w:p>
          <w:p w14:paraId="24B6E45B" w14:textId="77777777" w:rsidR="00893BDB" w:rsidRPr="00FB7EE4" w:rsidRDefault="00893BDB" w:rsidP="00893BDB">
            <w:pPr>
              <w:pStyle w:val="MHHSBody"/>
              <w:spacing w:after="20" w:line="0" w:lineRule="atLeast"/>
              <w:rPr>
                <w:i/>
                <w:iCs/>
                <w:color w:val="041425" w:themeColor="text1"/>
                <w:sz w:val="16"/>
                <w:szCs w:val="16"/>
              </w:rPr>
            </w:pPr>
            <w:r w:rsidRPr="00FB7EE4">
              <w:rPr>
                <w:i/>
                <w:iCs/>
                <w:color w:val="041425" w:themeColor="text1"/>
                <w:sz w:val="16"/>
                <w:szCs w:val="16"/>
              </w:rPr>
              <w:t>(please attach any evidence to support your justification including why it should be exempt from the change freeze)</w:t>
            </w:r>
          </w:p>
          <w:p w14:paraId="5BA3E3D8" w14:textId="77777777" w:rsidR="00EF3FD8" w:rsidRPr="00FB7EE4" w:rsidRDefault="00EF3FD8" w:rsidP="00EF3FD8">
            <w:pPr>
              <w:rPr>
                <w:rFonts w:ascii="Calibri" w:hAnsi="Calibri"/>
                <w:color w:val="041425" w:themeColor="text1"/>
              </w:rPr>
            </w:pPr>
            <w:r w:rsidRPr="00FB7EE4">
              <w:rPr>
                <w:rFonts w:ascii="Calibri" w:hAnsi="Calibri"/>
                <w:color w:val="041425" w:themeColor="text1"/>
              </w:rPr>
              <w:t xml:space="preserve">LDSOs recognise the importance of valid and fit for purpose NFR testing, similarly the unnecessary costs if this is performed to incorrect parameters and metrics, especially when such thresholds can never be met. </w:t>
            </w:r>
          </w:p>
          <w:p w14:paraId="3968B3BB" w14:textId="77777777" w:rsidR="00EF3FD8" w:rsidRPr="00FB7EE4" w:rsidRDefault="00EF3FD8" w:rsidP="00EF3FD8">
            <w:pPr>
              <w:rPr>
                <w:rFonts w:ascii="Calibri" w:hAnsi="Calibri"/>
                <w:color w:val="041425" w:themeColor="text1"/>
              </w:rPr>
            </w:pPr>
          </w:p>
          <w:p w14:paraId="21AFD53F" w14:textId="77777777" w:rsidR="00EF3FD8" w:rsidRPr="00FB7EE4" w:rsidRDefault="00EF3FD8" w:rsidP="00975284">
            <w:pPr>
              <w:rPr>
                <w:rFonts w:ascii="Calibri" w:hAnsi="Calibri"/>
                <w:color w:val="041425" w:themeColor="text1"/>
              </w:rPr>
            </w:pPr>
            <w:r w:rsidRPr="00FB7EE4">
              <w:rPr>
                <w:rFonts w:ascii="Calibri" w:hAnsi="Calibri"/>
                <w:color w:val="041425" w:themeColor="text1"/>
              </w:rPr>
              <w:t xml:space="preserve">The NFR catalogue refers to ‘All Services’. Additional clarity is required as to the meaning of this term. It is unclear on the purpose of this term when referenced against some of the non-functional metrics quoted. </w:t>
            </w:r>
          </w:p>
          <w:p w14:paraId="719488CE" w14:textId="77777777" w:rsidR="001D20AF" w:rsidRDefault="001D20AF" w:rsidP="001D20AF">
            <w:pPr>
              <w:rPr>
                <w:rFonts w:ascii="Calibri" w:hAnsi="Calibri"/>
                <w:color w:val="041425" w:themeColor="text1"/>
              </w:rPr>
            </w:pPr>
            <w:r w:rsidRPr="00FB7EE4">
              <w:rPr>
                <w:rFonts w:ascii="Calibri" w:hAnsi="Calibri"/>
                <w:color w:val="041425" w:themeColor="text1"/>
              </w:rPr>
              <w:t>For example, assuming the DIP is a ‘service’, by definition, any other metric quoted for any other service must require a lower volumetric to be tested, as the DIP is the totality of MHHS messages. Therefore, the same NFRs cannot apply to all services.</w:t>
            </w:r>
          </w:p>
          <w:p w14:paraId="647A3D65" w14:textId="4576B8E2" w:rsidR="00BF5464" w:rsidRPr="00BF5464" w:rsidRDefault="00BF5464" w:rsidP="001D20AF">
            <w:pPr>
              <w:rPr>
                <w:rFonts w:ascii="Calibri" w:hAnsi="Calibri"/>
                <w:color w:val="041425" w:themeColor="text1"/>
                <w:szCs w:val="20"/>
              </w:rPr>
            </w:pPr>
            <w:r w:rsidRPr="00FB7EE4">
              <w:rPr>
                <w:rFonts w:ascii="Calibri" w:hAnsi="Calibri"/>
                <w:color w:val="041425" w:themeColor="text1"/>
                <w:szCs w:val="20"/>
              </w:rPr>
              <w:t>‘All Services’ should be defined as ‘</w:t>
            </w:r>
            <w:r w:rsidRPr="00FB7EE4">
              <w:rPr>
                <w:rFonts w:ascii="Calibri" w:hAnsi="Calibri" w:cs="Calibri"/>
                <w:color w:val="212121"/>
                <w:szCs w:val="20"/>
              </w:rPr>
              <w:t>All Services by market role’.</w:t>
            </w:r>
          </w:p>
          <w:p w14:paraId="6A514C81" w14:textId="77777777" w:rsidR="001D20AF" w:rsidRPr="00FB7EE4" w:rsidRDefault="001D20AF" w:rsidP="001D20AF">
            <w:pPr>
              <w:rPr>
                <w:rFonts w:ascii="Calibri" w:hAnsi="Calibri"/>
                <w:color w:val="041425" w:themeColor="text1"/>
              </w:rPr>
            </w:pPr>
          </w:p>
          <w:p w14:paraId="4BF0F2DD" w14:textId="77777777" w:rsidR="001D20AF" w:rsidRPr="00FB7EE4" w:rsidRDefault="001D20AF" w:rsidP="001D20AF">
            <w:pPr>
              <w:rPr>
                <w:rFonts w:ascii="Calibri" w:hAnsi="Calibri"/>
                <w:color w:val="041425" w:themeColor="text1"/>
              </w:rPr>
            </w:pPr>
            <w:r w:rsidRPr="00FB7EE4">
              <w:rPr>
                <w:rFonts w:ascii="Calibri" w:hAnsi="Calibri"/>
                <w:color w:val="041425" w:themeColor="text1"/>
              </w:rPr>
              <w:t xml:space="preserve">If this CR is not accepted, collectively, LDSOs are concerned of an impact to M10, this is by virtue of impacts to other programme milestones. </w:t>
            </w:r>
          </w:p>
          <w:p w14:paraId="75A1E7BE" w14:textId="77777777" w:rsidR="001D20AF" w:rsidRPr="00FB7EE4" w:rsidRDefault="001D20AF" w:rsidP="001D20AF">
            <w:pPr>
              <w:rPr>
                <w:rFonts w:ascii="Calibri" w:hAnsi="Calibri"/>
                <w:color w:val="041425" w:themeColor="text1"/>
              </w:rPr>
            </w:pPr>
          </w:p>
          <w:p w14:paraId="5F444D99" w14:textId="48EA3637" w:rsidR="001D20AF" w:rsidRPr="00FB7EE4" w:rsidRDefault="001D20AF" w:rsidP="001D20AF">
            <w:pPr>
              <w:rPr>
                <w:rFonts w:ascii="Calibri" w:hAnsi="Calibri"/>
                <w:color w:val="041425" w:themeColor="text1"/>
              </w:rPr>
            </w:pPr>
            <w:r w:rsidRPr="00FB7EE4">
              <w:rPr>
                <w:rFonts w:ascii="Calibri" w:hAnsi="Calibri"/>
                <w:color w:val="041425" w:themeColor="text1"/>
              </w:rPr>
              <w:t xml:space="preserve">The CR should not impact the programme, the design, other parties or M10, as it simply seeks to set fit for purpose NFRs for LDSOs and their 3 market roles of Registration Services, UMSO &amp; </w:t>
            </w:r>
            <w:r w:rsidR="004860F2" w:rsidRPr="00FB7EE4">
              <w:rPr>
                <w:rFonts w:ascii="Calibri" w:hAnsi="Calibri"/>
                <w:color w:val="041425" w:themeColor="text1"/>
              </w:rPr>
              <w:t xml:space="preserve">LDSO (formerly referred to as </w:t>
            </w:r>
            <w:r w:rsidRPr="00FB7EE4">
              <w:rPr>
                <w:rFonts w:ascii="Calibri" w:hAnsi="Calibri"/>
                <w:color w:val="041425" w:themeColor="text1"/>
              </w:rPr>
              <w:t>Network Ops</w:t>
            </w:r>
            <w:r w:rsidR="004860F2" w:rsidRPr="00FB7EE4">
              <w:rPr>
                <w:rFonts w:ascii="Calibri" w:hAnsi="Calibri"/>
                <w:color w:val="041425" w:themeColor="text1"/>
              </w:rPr>
              <w:t>).</w:t>
            </w:r>
          </w:p>
          <w:p w14:paraId="7D13020C" w14:textId="158E0FFB" w:rsidR="001D20AF" w:rsidRPr="00FB7EE4" w:rsidRDefault="001D20AF" w:rsidP="00975284">
            <w:pPr>
              <w:rPr>
                <w:rFonts w:ascii="Calibri" w:hAnsi="Calibri"/>
                <w:color w:val="041425" w:themeColor="text1"/>
              </w:rPr>
            </w:pPr>
          </w:p>
        </w:tc>
        <w:tc>
          <w:tcPr>
            <w:tcW w:w="2552" w:type="dxa"/>
            <w:shd w:val="clear" w:color="auto" w:fill="D9D9D9" w:themeFill="background2" w:themeFillShade="D9"/>
            <w:vAlign w:val="top"/>
          </w:tcPr>
          <w:p w14:paraId="10E20820" w14:textId="4B7558EC" w:rsidR="00893BDB" w:rsidRPr="00FB7EE4" w:rsidRDefault="00893BDB" w:rsidP="00893BDB">
            <w:pPr>
              <w:pStyle w:val="MHHSBody"/>
              <w:rPr>
                <w:b/>
                <w:bCs/>
                <w:color w:val="041425" w:themeColor="text1"/>
              </w:rPr>
            </w:pPr>
            <w:bookmarkStart w:id="2" w:name="Text7"/>
            <w:r w:rsidRPr="00FB7EE4">
              <w:rPr>
                <w:b/>
                <w:bCs/>
                <w:color w:val="041425" w:themeColor="text1"/>
              </w:rPr>
              <w:t>Change Freeze criterion impacted</w:t>
            </w:r>
          </w:p>
        </w:tc>
        <w:bookmarkEnd w:id="2"/>
        <w:tc>
          <w:tcPr>
            <w:tcW w:w="1187" w:type="dxa"/>
            <w:shd w:val="clear" w:color="auto" w:fill="D9D9D9" w:themeFill="background2" w:themeFillShade="D9"/>
            <w:vAlign w:val="top"/>
          </w:tcPr>
          <w:p w14:paraId="55446974" w14:textId="1DBF27BE" w:rsidR="00893BDB" w:rsidRPr="00FB7EE4" w:rsidRDefault="00893BDB" w:rsidP="00893BDB">
            <w:pPr>
              <w:pStyle w:val="MHHSBody"/>
              <w:rPr>
                <w:b/>
                <w:bCs/>
                <w:color w:val="041425" w:themeColor="text1"/>
              </w:rPr>
            </w:pPr>
            <w:r w:rsidRPr="00FB7EE4">
              <w:rPr>
                <w:b/>
                <w:bCs/>
                <w:color w:val="041425" w:themeColor="text1"/>
              </w:rPr>
              <w:t>Yes / No</w:t>
            </w:r>
          </w:p>
        </w:tc>
      </w:tr>
      <w:tr w:rsidR="00975284" w14:paraId="0B585202" w14:textId="77777777" w:rsidTr="346DB050">
        <w:trPr>
          <w:trHeight w:val="337"/>
        </w:trPr>
        <w:tc>
          <w:tcPr>
            <w:tcW w:w="6941" w:type="dxa"/>
            <w:vMerge/>
            <w:vAlign w:val="top"/>
          </w:tcPr>
          <w:p w14:paraId="74AB8F4B" w14:textId="77777777" w:rsidR="00975284" w:rsidRPr="00FB7EE4" w:rsidRDefault="00975284" w:rsidP="00975284">
            <w:pPr>
              <w:pStyle w:val="MHHSBody"/>
              <w:spacing w:after="20" w:line="0" w:lineRule="atLeast"/>
              <w:rPr>
                <w:b/>
                <w:bCs/>
                <w:color w:val="041425" w:themeColor="text1"/>
              </w:rPr>
            </w:pPr>
          </w:p>
        </w:tc>
        <w:tc>
          <w:tcPr>
            <w:tcW w:w="2552" w:type="dxa"/>
          </w:tcPr>
          <w:p w14:paraId="15E7A8D1" w14:textId="57CC0DA8" w:rsidR="00975284" w:rsidRPr="00FB7EE4" w:rsidRDefault="00975284" w:rsidP="00975284">
            <w:pPr>
              <w:pStyle w:val="MHHSBody"/>
              <w:spacing w:after="20" w:line="0" w:lineRule="atLeast"/>
              <w:rPr>
                <w:b/>
                <w:bCs/>
                <w:color w:val="041425" w:themeColor="text1"/>
              </w:rPr>
            </w:pPr>
            <w:r w:rsidRPr="00FB7EE4">
              <w:rPr>
                <w:b/>
                <w:bCs/>
                <w:color w:val="041425" w:themeColor="text1"/>
              </w:rPr>
              <w:t>Fixing a design defect</w:t>
            </w:r>
          </w:p>
        </w:tc>
        <w:tc>
          <w:tcPr>
            <w:tcW w:w="1187" w:type="dxa"/>
          </w:tcPr>
          <w:p w14:paraId="75B712C7" w14:textId="4C404E95" w:rsidR="00975284" w:rsidRPr="00FB7EE4" w:rsidRDefault="00975284" w:rsidP="00975284">
            <w:pPr>
              <w:pStyle w:val="MHHSBody"/>
              <w:spacing w:after="20" w:line="0" w:lineRule="atLeast"/>
              <w:rPr>
                <w:b/>
                <w:bCs/>
                <w:color w:val="041425" w:themeColor="text1"/>
              </w:rPr>
            </w:pPr>
            <w:r w:rsidRPr="00FB7EE4">
              <w:rPr>
                <w:b/>
                <w:bCs/>
                <w:color w:val="041425" w:themeColor="text1"/>
              </w:rPr>
              <w:t>Yes</w:t>
            </w:r>
          </w:p>
        </w:tc>
      </w:tr>
      <w:tr w:rsidR="00975284" w14:paraId="29C0E6C5" w14:textId="77777777" w:rsidTr="346DB050">
        <w:trPr>
          <w:trHeight w:val="502"/>
        </w:trPr>
        <w:tc>
          <w:tcPr>
            <w:tcW w:w="6941" w:type="dxa"/>
            <w:vMerge/>
            <w:vAlign w:val="top"/>
          </w:tcPr>
          <w:p w14:paraId="4B0CF9ED" w14:textId="77777777" w:rsidR="00975284" w:rsidRPr="00FB7EE4" w:rsidRDefault="00975284" w:rsidP="00975284">
            <w:pPr>
              <w:pStyle w:val="MHHSBody"/>
              <w:spacing w:after="20" w:line="0" w:lineRule="atLeast"/>
              <w:rPr>
                <w:b/>
                <w:bCs/>
                <w:color w:val="041425" w:themeColor="text1"/>
              </w:rPr>
            </w:pPr>
          </w:p>
        </w:tc>
        <w:tc>
          <w:tcPr>
            <w:tcW w:w="2552" w:type="dxa"/>
          </w:tcPr>
          <w:p w14:paraId="1C6128AB" w14:textId="2CDD0DF8" w:rsidR="00975284" w:rsidRPr="00FB7EE4" w:rsidRDefault="00975284" w:rsidP="00975284">
            <w:pPr>
              <w:pStyle w:val="MHHSBody"/>
              <w:spacing w:after="20" w:line="0" w:lineRule="atLeast"/>
              <w:rPr>
                <w:b/>
                <w:bCs/>
                <w:color w:val="041425" w:themeColor="text1"/>
              </w:rPr>
            </w:pPr>
            <w:r w:rsidRPr="00FB7EE4">
              <w:rPr>
                <w:b/>
                <w:bCs/>
                <w:color w:val="041425" w:themeColor="text1"/>
              </w:rPr>
              <w:t>Critical to M10/M15</w:t>
            </w:r>
          </w:p>
        </w:tc>
        <w:tc>
          <w:tcPr>
            <w:tcW w:w="1187" w:type="dxa"/>
          </w:tcPr>
          <w:p w14:paraId="564ED7FD" w14:textId="5A13962D" w:rsidR="00975284" w:rsidRPr="00FB7EE4" w:rsidRDefault="00975284" w:rsidP="00975284">
            <w:pPr>
              <w:pStyle w:val="MHHSBody"/>
              <w:spacing w:after="20" w:line="0" w:lineRule="atLeast"/>
              <w:rPr>
                <w:b/>
                <w:bCs/>
                <w:color w:val="041425" w:themeColor="text1"/>
              </w:rPr>
            </w:pPr>
            <w:r w:rsidRPr="00FB7EE4">
              <w:rPr>
                <w:b/>
                <w:bCs/>
                <w:color w:val="041425" w:themeColor="text1"/>
              </w:rPr>
              <w:t>Yes</w:t>
            </w:r>
          </w:p>
        </w:tc>
      </w:tr>
      <w:tr w:rsidR="00975284" w14:paraId="4937AE4F" w14:textId="77777777" w:rsidTr="346DB050">
        <w:trPr>
          <w:trHeight w:val="1515"/>
        </w:trPr>
        <w:tc>
          <w:tcPr>
            <w:tcW w:w="10680" w:type="dxa"/>
            <w:gridSpan w:val="3"/>
            <w:vAlign w:val="top"/>
          </w:tcPr>
          <w:p w14:paraId="4A648CF5" w14:textId="35740C60" w:rsidR="00975284" w:rsidRPr="00FB7EE4" w:rsidRDefault="00975284" w:rsidP="00975284">
            <w:pPr>
              <w:pStyle w:val="MHHSBody"/>
              <w:spacing w:after="20" w:line="0" w:lineRule="atLeast"/>
              <w:rPr>
                <w:b/>
                <w:bCs/>
                <w:color w:val="041425" w:themeColor="text1"/>
              </w:rPr>
            </w:pPr>
            <w:r w:rsidRPr="00FB7EE4">
              <w:rPr>
                <w:b/>
                <w:bCs/>
                <w:color w:val="041425" w:themeColor="text1"/>
              </w:rPr>
              <w:t>Consequences of no change:</w:t>
            </w:r>
          </w:p>
          <w:p w14:paraId="4500E04D" w14:textId="3EF0E78E" w:rsidR="00975284" w:rsidRPr="00FB7EE4" w:rsidRDefault="00975284" w:rsidP="00DD6458">
            <w:pPr>
              <w:pStyle w:val="MHHSBody"/>
              <w:spacing w:after="20" w:line="0" w:lineRule="atLeast"/>
              <w:rPr>
                <w:i/>
                <w:iCs/>
                <w:color w:val="041425" w:themeColor="text1"/>
                <w:sz w:val="16"/>
                <w:szCs w:val="16"/>
              </w:rPr>
            </w:pPr>
            <w:r w:rsidRPr="00FB7EE4">
              <w:rPr>
                <w:i/>
                <w:iCs/>
                <w:color w:val="041425" w:themeColor="text1"/>
                <w:sz w:val="16"/>
                <w:szCs w:val="16"/>
              </w:rPr>
              <w:t>(what would happen if the change was not implemented)</w:t>
            </w:r>
          </w:p>
          <w:p w14:paraId="4DA9BABF" w14:textId="77777777" w:rsidR="00DD6458" w:rsidRPr="00FB7EE4" w:rsidRDefault="00DD6458" w:rsidP="00DD6458">
            <w:pPr>
              <w:rPr>
                <w:rFonts w:ascii="Calibri" w:hAnsi="Calibri"/>
                <w:color w:val="041425" w:themeColor="text1"/>
              </w:rPr>
            </w:pPr>
            <w:r w:rsidRPr="00FB7EE4">
              <w:rPr>
                <w:rFonts w:ascii="Calibri" w:hAnsi="Calibri"/>
                <w:color w:val="041425" w:themeColor="text1"/>
              </w:rPr>
              <w:t>There would be increased unnecessary costs for infrastructure and resources to support testing of some NFRs, which are already collectively accepted as incorrect. Such costs would ultimately be borne by customers.</w:t>
            </w:r>
          </w:p>
          <w:p w14:paraId="3E0E64A4" w14:textId="5837AAC3" w:rsidR="00DD6458" w:rsidRPr="00FB7EE4" w:rsidRDefault="00DD6458" w:rsidP="00975284">
            <w:pPr>
              <w:pStyle w:val="MHHSBody"/>
              <w:rPr>
                <w:color w:val="041425" w:themeColor="text1"/>
              </w:rPr>
            </w:pPr>
          </w:p>
        </w:tc>
      </w:tr>
      <w:tr w:rsidR="00975284" w14:paraId="5BEB428A" w14:textId="77777777" w:rsidTr="346DB050">
        <w:trPr>
          <w:trHeight w:val="1515"/>
        </w:trPr>
        <w:tc>
          <w:tcPr>
            <w:tcW w:w="10680" w:type="dxa"/>
            <w:gridSpan w:val="3"/>
            <w:vAlign w:val="top"/>
          </w:tcPr>
          <w:p w14:paraId="1C1EA26F" w14:textId="77777777" w:rsidR="00975284" w:rsidRPr="00FB7EE4" w:rsidRDefault="00975284" w:rsidP="00975284">
            <w:pPr>
              <w:pStyle w:val="MHHSBody"/>
              <w:spacing w:after="20" w:line="0" w:lineRule="atLeast"/>
              <w:rPr>
                <w:b/>
                <w:color w:val="041425" w:themeColor="text1"/>
              </w:rPr>
            </w:pPr>
            <w:r w:rsidRPr="00FB7EE4">
              <w:rPr>
                <w:b/>
                <w:color w:val="041425" w:themeColor="text1"/>
              </w:rPr>
              <w:t>Alternative options:</w:t>
            </w:r>
          </w:p>
          <w:p w14:paraId="5E4A38CA" w14:textId="2685CD60" w:rsidR="00975284" w:rsidRPr="00FB7EE4" w:rsidRDefault="00975284" w:rsidP="00975284">
            <w:pPr>
              <w:pStyle w:val="MHHSBody"/>
              <w:rPr>
                <w:i/>
                <w:color w:val="041425" w:themeColor="text1"/>
                <w:sz w:val="16"/>
                <w:szCs w:val="20"/>
              </w:rPr>
            </w:pPr>
            <w:r w:rsidRPr="00FB7EE4">
              <w:rPr>
                <w:i/>
                <w:color w:val="041425" w:themeColor="text1"/>
                <w:sz w:val="16"/>
                <w:szCs w:val="20"/>
              </w:rPr>
              <w:t>(alternative options or mitigations that have been considered)</w:t>
            </w:r>
          </w:p>
          <w:p w14:paraId="767404DB" w14:textId="607C4C5F" w:rsidR="00975284" w:rsidRPr="00FB7EE4" w:rsidRDefault="0001587D" w:rsidP="00975284">
            <w:pPr>
              <w:pStyle w:val="MHHSBody"/>
              <w:spacing w:after="20" w:line="0" w:lineRule="atLeast"/>
              <w:rPr>
                <w:b/>
                <w:color w:val="041425" w:themeColor="text1"/>
              </w:rPr>
            </w:pPr>
            <w:r w:rsidRPr="00FB7EE4">
              <w:rPr>
                <w:rFonts w:ascii="Calibri" w:hAnsi="Calibri"/>
                <w:color w:val="041425" w:themeColor="text1"/>
              </w:rPr>
              <w:t>None, the NFRs need correcting, this is binary.</w:t>
            </w:r>
          </w:p>
        </w:tc>
      </w:tr>
      <w:tr w:rsidR="00975284" w14:paraId="08F21222" w14:textId="77777777" w:rsidTr="346DB050">
        <w:trPr>
          <w:trHeight w:val="1515"/>
        </w:trPr>
        <w:tc>
          <w:tcPr>
            <w:tcW w:w="10680" w:type="dxa"/>
            <w:gridSpan w:val="3"/>
            <w:vAlign w:val="top"/>
          </w:tcPr>
          <w:p w14:paraId="50D13860" w14:textId="77777777" w:rsidR="00975284" w:rsidRPr="00FB7EE4" w:rsidRDefault="00975284" w:rsidP="00975284">
            <w:pPr>
              <w:pStyle w:val="MHHSBody"/>
              <w:spacing w:after="20" w:line="0" w:lineRule="atLeast"/>
              <w:rPr>
                <w:b/>
                <w:color w:val="041425" w:themeColor="text1"/>
              </w:rPr>
            </w:pPr>
            <w:r w:rsidRPr="00FB7EE4">
              <w:rPr>
                <w:b/>
                <w:color w:val="041425" w:themeColor="text1"/>
              </w:rPr>
              <w:t>Risks associated with potential change:</w:t>
            </w:r>
          </w:p>
          <w:p w14:paraId="056C9039" w14:textId="6735F36F" w:rsidR="00975284" w:rsidRPr="00FB7EE4" w:rsidRDefault="00975284" w:rsidP="00975284">
            <w:pPr>
              <w:pStyle w:val="MHHSBody"/>
              <w:rPr>
                <w:i/>
                <w:color w:val="041425" w:themeColor="text1"/>
                <w:sz w:val="16"/>
                <w:szCs w:val="20"/>
              </w:rPr>
            </w:pPr>
            <w:r w:rsidRPr="00FB7EE4">
              <w:rPr>
                <w:i/>
                <w:color w:val="041425" w:themeColor="text1"/>
                <w:sz w:val="16"/>
                <w:szCs w:val="20"/>
              </w:rPr>
              <w:t>(risks related to implementation of the proposed change that have been identified)</w:t>
            </w:r>
          </w:p>
          <w:p w14:paraId="61D6CFE3" w14:textId="24BC5A13" w:rsidR="00975284" w:rsidRPr="00FB7EE4" w:rsidRDefault="009767A5" w:rsidP="00975284">
            <w:pPr>
              <w:pStyle w:val="MHHSBody"/>
              <w:spacing w:after="20" w:line="0" w:lineRule="atLeast"/>
              <w:rPr>
                <w:b/>
                <w:color w:val="041425" w:themeColor="text1"/>
              </w:rPr>
            </w:pPr>
            <w:r w:rsidRPr="00FB7EE4">
              <w:rPr>
                <w:rFonts w:ascii="Calibri" w:hAnsi="Calibri"/>
                <w:color w:val="041425" w:themeColor="text1"/>
              </w:rPr>
              <w:t>None identified.</w:t>
            </w:r>
          </w:p>
        </w:tc>
      </w:tr>
      <w:tr w:rsidR="00975284" w14:paraId="44045F1C" w14:textId="77777777" w:rsidTr="346DB050">
        <w:trPr>
          <w:trHeight w:val="1515"/>
        </w:trPr>
        <w:tc>
          <w:tcPr>
            <w:tcW w:w="10680" w:type="dxa"/>
            <w:gridSpan w:val="3"/>
            <w:vAlign w:val="top"/>
          </w:tcPr>
          <w:p w14:paraId="6C8656ED" w14:textId="77777777" w:rsidR="00975284" w:rsidRPr="00FB7EE4" w:rsidRDefault="00975284" w:rsidP="00975284">
            <w:pPr>
              <w:pStyle w:val="MHHSBody"/>
              <w:spacing w:after="20" w:line="0" w:lineRule="atLeast"/>
              <w:rPr>
                <w:b/>
                <w:color w:val="041425" w:themeColor="text1"/>
              </w:rPr>
            </w:pPr>
            <w:r w:rsidRPr="00FB7EE4">
              <w:rPr>
                <w:b/>
                <w:color w:val="041425" w:themeColor="text1"/>
              </w:rPr>
              <w:t>Stakeholders consulted on the potential change:</w:t>
            </w:r>
          </w:p>
          <w:p w14:paraId="78C1B868" w14:textId="2AA06161" w:rsidR="00975284" w:rsidRPr="00FB7EE4" w:rsidRDefault="00975284" w:rsidP="00975284">
            <w:pPr>
              <w:pStyle w:val="MHHSBody"/>
              <w:rPr>
                <w:i/>
                <w:color w:val="041425" w:themeColor="text1"/>
                <w:sz w:val="16"/>
                <w:szCs w:val="20"/>
              </w:rPr>
            </w:pPr>
            <w:r w:rsidRPr="00FB7EE4">
              <w:rPr>
                <w:i/>
                <w:color w:val="041425" w:themeColor="text1"/>
                <w:sz w:val="16"/>
                <w:szCs w:val="20"/>
              </w:rPr>
              <w:t xml:space="preserve">(Please document the </w:t>
            </w:r>
            <w:r w:rsidRPr="00FB7EE4">
              <w:rPr>
                <w:i/>
                <w:iCs/>
                <w:color w:val="041425" w:themeColor="text1"/>
                <w:sz w:val="16"/>
                <w:szCs w:val="20"/>
              </w:rPr>
              <w:t>stakeholders,</w:t>
            </w:r>
            <w:r w:rsidRPr="00FB7EE4">
              <w:rPr>
                <w:i/>
                <w:color w:val="041425" w:themeColor="text1"/>
                <w:sz w:val="16"/>
                <w:szCs w:val="20"/>
              </w:rPr>
              <w:t xml:space="preserve"> or </w:t>
            </w:r>
            <w:r w:rsidRPr="00FB7EE4">
              <w:rPr>
                <w:i/>
                <w:iCs/>
                <w:color w:val="041425" w:themeColor="text1"/>
                <w:sz w:val="16"/>
                <w:szCs w:val="20"/>
              </w:rPr>
              <w:t>stakeholder groups</w:t>
            </w:r>
            <w:r w:rsidRPr="00FB7EE4">
              <w:rPr>
                <w:i/>
                <w:color w:val="041425" w:themeColor="text1"/>
                <w:sz w:val="16"/>
                <w:szCs w:val="20"/>
              </w:rPr>
              <w:t xml:space="preserve"> that have been </w:t>
            </w:r>
            <w:r w:rsidRPr="00FB7EE4">
              <w:rPr>
                <w:i/>
                <w:iCs/>
                <w:color w:val="041425" w:themeColor="text1"/>
                <w:sz w:val="16"/>
                <w:szCs w:val="20"/>
              </w:rPr>
              <w:t xml:space="preserve">consulted to date on this change. </w:t>
            </w:r>
            <w:r w:rsidRPr="00FB7EE4">
              <w:rPr>
                <w:i/>
                <w:iCs/>
                <w:color w:val="041425" w:themeColor="text1"/>
                <w:sz w:val="16"/>
                <w:szCs w:val="20"/>
                <w:shd w:val="clear" w:color="auto" w:fill="FFFFFF" w:themeFill="background1"/>
              </w:rPr>
              <w:t>The Change Raiser should consult with relevant programme parties in the drafting of the request, prior to submission to PMO).</w:t>
            </w:r>
          </w:p>
          <w:p w14:paraId="74D5A1CC" w14:textId="77777777" w:rsidR="00D15AE1" w:rsidRPr="00FB7EE4" w:rsidRDefault="00D15AE1" w:rsidP="00D15AE1">
            <w:pPr>
              <w:pStyle w:val="MHHSBody"/>
              <w:spacing w:after="20" w:line="0" w:lineRule="atLeast"/>
              <w:rPr>
                <w:b/>
                <w:color w:val="041425" w:themeColor="text1"/>
              </w:rPr>
            </w:pPr>
            <w:r w:rsidRPr="00FB7EE4">
              <w:rPr>
                <w:rFonts w:ascii="Calibri" w:hAnsi="Calibri"/>
                <w:color w:val="041425" w:themeColor="text1"/>
              </w:rPr>
              <w:t>Various MHHS PMO lead workshops and session with LDSOs and others.</w:t>
            </w:r>
          </w:p>
          <w:p w14:paraId="0AB7B0C0" w14:textId="7489FB9B" w:rsidR="00975284" w:rsidRPr="00FB7EE4" w:rsidRDefault="00975284" w:rsidP="00975284">
            <w:pPr>
              <w:pStyle w:val="MHHSBody"/>
              <w:spacing w:after="20" w:line="0" w:lineRule="atLeast"/>
              <w:rPr>
                <w:b/>
                <w:color w:val="041425" w:themeColor="text1"/>
              </w:rPr>
            </w:pPr>
          </w:p>
        </w:tc>
      </w:tr>
      <w:tr w:rsidR="00975284" w14:paraId="0A18EEC5" w14:textId="77777777" w:rsidTr="346DB050">
        <w:trPr>
          <w:trHeight w:val="615"/>
        </w:trPr>
        <w:tc>
          <w:tcPr>
            <w:tcW w:w="6941" w:type="dxa"/>
          </w:tcPr>
          <w:p w14:paraId="787902ED" w14:textId="77777777" w:rsidR="00975284" w:rsidRPr="00FB7EE4" w:rsidRDefault="00975284" w:rsidP="00975284">
            <w:pPr>
              <w:pStyle w:val="MHHSBody"/>
              <w:rPr>
                <w:b/>
                <w:bCs/>
                <w:color w:val="041425" w:themeColor="text1"/>
              </w:rPr>
            </w:pPr>
            <w:r w:rsidRPr="00FB7EE4">
              <w:rPr>
                <w:b/>
                <w:bCs/>
                <w:color w:val="041425" w:themeColor="text1"/>
              </w:rPr>
              <w:t>Target date by which a decision is required:</w:t>
            </w:r>
          </w:p>
        </w:tc>
        <w:tc>
          <w:tcPr>
            <w:tcW w:w="3739" w:type="dxa"/>
            <w:gridSpan w:val="2"/>
          </w:tcPr>
          <w:p w14:paraId="7826F885" w14:textId="00284F31" w:rsidR="00975284" w:rsidRPr="00FB7EE4" w:rsidRDefault="00132474" w:rsidP="00975284">
            <w:pPr>
              <w:pStyle w:val="MHHSBody"/>
              <w:rPr>
                <w:color w:val="041425" w:themeColor="text1"/>
              </w:rPr>
            </w:pPr>
            <w:r w:rsidRPr="00FB7EE4">
              <w:rPr>
                <w:color w:val="041425" w:themeColor="text1"/>
              </w:rPr>
              <w:t>ASAP</w:t>
            </w:r>
          </w:p>
        </w:tc>
      </w:tr>
    </w:tbl>
    <w:p w14:paraId="1AC546C8" w14:textId="15A42CCE" w:rsidR="00162CC1" w:rsidRDefault="00162CC1">
      <w:pPr>
        <w:spacing w:after="160" w:line="259" w:lineRule="auto"/>
        <w:rPr>
          <w:rFonts w:ascii="Arial" w:hAnsi="Arial" w:cs="Arial"/>
          <w:b/>
          <w:bCs/>
          <w:color w:val="5161FC" w:themeColor="accent1"/>
          <w:szCs w:val="20"/>
        </w:rPr>
      </w:pP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lastRenderedPageBreak/>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3B718BBE" w:rsidR="002B04D8" w:rsidRDefault="00202EE0" w:rsidP="00151F9B">
            <w:pPr>
              <w:pStyle w:val="MHHSBody"/>
            </w:pPr>
            <w:r>
              <w:rPr>
                <w:color w:val="2B579A"/>
                <w:shd w:val="clear" w:color="auto" w:fill="E6E6E6"/>
              </w:rPr>
              <w:fldChar w:fldCharType="begin">
                <w:ffData>
                  <w:name w:val="Text53"/>
                  <w:enabled/>
                  <w:calcOnExit w:val="0"/>
                  <w:textInput/>
                </w:ffData>
              </w:fldChar>
            </w:r>
            <w:bookmarkStart w:id="3" w:name="Text5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0E275E62" w:rsidR="002B04D8" w:rsidRDefault="002B04D8" w:rsidP="00151F9B">
            <w:pPr>
              <w:pStyle w:val="MHHSBody"/>
            </w:pPr>
            <w:r>
              <w:rPr>
                <w:color w:val="2B579A"/>
                <w:shd w:val="clear" w:color="auto" w:fill="E6E6E6"/>
              </w:rPr>
              <w:fldChar w:fldCharType="begin">
                <w:ffData>
                  <w:name w:val="Text4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sidR="00202EE0">
              <w:t> </w:t>
            </w:r>
            <w:r w:rsidR="00202EE0">
              <w:t> </w:t>
            </w:r>
            <w:r w:rsidR="00202EE0">
              <w:t> </w:t>
            </w:r>
            <w:r w:rsidR="00202EE0">
              <w:t> </w:t>
            </w:r>
            <w:r w:rsidR="00202EE0">
              <w:t> </w:t>
            </w:r>
            <w:r>
              <w:rPr>
                <w:color w:val="2B579A"/>
                <w:shd w:val="clear" w:color="auto" w:fill="E6E6E6"/>
              </w:rPr>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0A13CD70" w:rsidR="00151F9B" w:rsidRDefault="00151F9B" w:rsidP="00151F9B">
            <w:pPr>
              <w:pStyle w:val="MHHSBody"/>
            </w:pPr>
            <w:r>
              <w:rPr>
                <w:color w:val="2B579A"/>
                <w:shd w:val="clear" w:color="auto" w:fill="E6E6E6"/>
              </w:rPr>
              <w:fldChar w:fldCharType="begin">
                <w:ffData>
                  <w:name w:val="Text47"/>
                  <w:enabled/>
                  <w:calcOnExit w:val="0"/>
                  <w:textInput/>
                </w:ffData>
              </w:fldChar>
            </w:r>
            <w:bookmarkStart w:id="4" w:name="Text4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26ABA1B1" w:rsidR="00151F9B" w:rsidRDefault="00151F9B" w:rsidP="00151F9B">
            <w:pPr>
              <w:pStyle w:val="MHHSBody"/>
            </w:pPr>
            <w:r>
              <w:rPr>
                <w:color w:val="2B579A"/>
                <w:shd w:val="clear" w:color="auto" w:fill="E6E6E6"/>
              </w:rPr>
              <w:fldChar w:fldCharType="begin">
                <w:ffData>
                  <w:name w:val="Text48"/>
                  <w:enabled/>
                  <w:calcOnExit w:val="0"/>
                  <w:textInput/>
                </w:ffData>
              </w:fldChar>
            </w:r>
            <w:bookmarkStart w:id="5" w:name="Text4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5"/>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1B2F4199" w:rsidR="00151F9B" w:rsidRDefault="00151F9B" w:rsidP="00151F9B">
            <w:pPr>
              <w:pStyle w:val="MHHSBody"/>
            </w:pPr>
            <w:r>
              <w:rPr>
                <w:color w:val="2B579A"/>
                <w:shd w:val="clear" w:color="auto" w:fill="E6E6E6"/>
              </w:rPr>
              <w:fldChar w:fldCharType="begin">
                <w:ffData>
                  <w:name w:val="Text49"/>
                  <w:enabled/>
                  <w:calcOnExit w:val="0"/>
                  <w:textInput/>
                </w:ffData>
              </w:fldChar>
            </w:r>
            <w:bookmarkStart w:id="6" w:name="Text4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6"/>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648220AD" w:rsidR="00151F9B" w:rsidRDefault="00151F9B" w:rsidP="00151F9B">
            <w:pPr>
              <w:pStyle w:val="MHHSBody"/>
            </w:pPr>
            <w:r>
              <w:rPr>
                <w:color w:val="2B579A"/>
                <w:shd w:val="clear" w:color="auto" w:fill="E6E6E6"/>
              </w:rPr>
              <w:fldChar w:fldCharType="begin">
                <w:ffData>
                  <w:name w:val="Text50"/>
                  <w:enabled/>
                  <w:calcOnExit w:val="0"/>
                  <w:textInput/>
                </w:ffData>
              </w:fldChar>
            </w:r>
            <w:bookmarkStart w:id="7" w:name="Text5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7"/>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2FC1AEC4" w:rsidR="00CF3F69" w:rsidRDefault="002B4DF4" w:rsidP="00250039">
            <w:pPr>
              <w:pStyle w:val="MHHSBody"/>
            </w:pPr>
            <w:r>
              <w:rPr>
                <w:color w:val="2B579A"/>
                <w:shd w:val="clear" w:color="auto" w:fill="E6E6E6"/>
              </w:rPr>
              <w:fldChar w:fldCharType="begin">
                <w:ffData>
                  <w:name w:val="Text45"/>
                  <w:enabled/>
                  <w:calcOnExit w:val="0"/>
                  <w:textInput/>
                </w:ffData>
              </w:fldChar>
            </w:r>
            <w:bookmarkStart w:id="8" w:name="Text45"/>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3FCF16C4" w:rsidR="00CF3F69" w:rsidRDefault="002B4DF4" w:rsidP="00250039">
            <w:pPr>
              <w:pStyle w:val="MHHSBody"/>
            </w:pPr>
            <w:r>
              <w:rPr>
                <w:color w:val="2B579A"/>
                <w:shd w:val="clear" w:color="auto" w:fill="E6E6E6"/>
              </w:rPr>
              <w:fldChar w:fldCharType="begin">
                <w:ffData>
                  <w:name w:val="Text46"/>
                  <w:enabled/>
                  <w:calcOnExit w:val="0"/>
                  <w:textInput/>
                </w:ffData>
              </w:fldChar>
            </w:r>
            <w:bookmarkStart w:id="9" w:name="Text4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9"/>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t>Impacted Milestones</w:t>
            </w:r>
          </w:p>
        </w:tc>
        <w:tc>
          <w:tcPr>
            <w:tcW w:w="8605" w:type="dxa"/>
          </w:tcPr>
          <w:p w14:paraId="531D220C" w14:textId="56197EF0" w:rsidR="004E5557" w:rsidRPr="0054131D" w:rsidRDefault="0054131D" w:rsidP="00250039">
            <w:pPr>
              <w:pStyle w:val="MHHSBody"/>
              <w:rPr>
                <w:i/>
                <w:iCs/>
              </w:rPr>
            </w:pPr>
            <w:r w:rsidRPr="0054131D">
              <w:rPr>
                <w:i/>
                <w:iCs/>
                <w:color w:val="5161FC" w:themeColor="accent1"/>
              </w:rPr>
              <w:t>&lt;</w:t>
            </w:r>
            <w:r w:rsidR="004E5557" w:rsidRPr="0054131D">
              <w:rPr>
                <w:i/>
                <w:iCs/>
                <w:color w:val="5161FC" w:themeColor="accent1"/>
              </w:rPr>
              <w:t>Ofgem’s MHHS Transition Timetable is linked above</w:t>
            </w:r>
            <w:r w:rsidRPr="0054131D">
              <w:rPr>
                <w:i/>
                <w:iCs/>
                <w:color w:val="5161FC" w:themeColor="accent1"/>
              </w:rPr>
              <w:t>&gt;</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p w14:paraId="427330A3" w14:textId="1BE47808" w:rsidR="005B7D3A" w:rsidRDefault="005B7D3A">
      <w:pPr>
        <w:spacing w:after="160" w:line="259" w:lineRule="auto"/>
        <w:rPr>
          <w:szCs w:val="20"/>
        </w:rPr>
      </w:pPr>
    </w:p>
    <w:p w14:paraId="0412E479" w14:textId="77777777" w:rsidR="00134B88" w:rsidRDefault="00134B88">
      <w:pPr>
        <w:spacing w:after="160" w:line="259" w:lineRule="auto"/>
        <w:rPr>
          <w:szCs w:val="20"/>
        </w:rPr>
      </w:pPr>
    </w:p>
    <w:p w14:paraId="4796D5D6" w14:textId="77777777" w:rsidR="00134B88" w:rsidRDefault="00134B88">
      <w:pPr>
        <w:spacing w:after="160" w:line="259" w:lineRule="auto"/>
        <w:rPr>
          <w:szCs w:val="20"/>
        </w:rPr>
      </w:pPr>
    </w:p>
    <w:p w14:paraId="20B1658E" w14:textId="77777777" w:rsidR="00134B88" w:rsidRDefault="00134B88">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3A3FE1F6">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3A3FE1F6">
        <w:tc>
          <w:tcPr>
            <w:tcW w:w="5939" w:type="dxa"/>
            <w:tcBorders>
              <w:left w:val="single" w:sz="4" w:space="0" w:color="auto"/>
              <w:right w:val="single" w:sz="4" w:space="0" w:color="auto"/>
            </w:tcBorders>
            <w:shd w:val="clear" w:color="auto" w:fill="D9D9D9" w:themeFill="background2"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2"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3A3FE1F6">
        <w:tc>
          <w:tcPr>
            <w:tcW w:w="5939" w:type="dxa"/>
            <w:tcBorders>
              <w:left w:val="single" w:sz="4" w:space="0" w:color="auto"/>
              <w:right w:val="single" w:sz="4" w:space="0" w:color="auto"/>
            </w:tcBorders>
            <w:shd w:val="clear" w:color="auto" w:fill="F2F2F2" w:themeFill="background2"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3A3FE1F6">
        <w:tc>
          <w:tcPr>
            <w:tcW w:w="5939" w:type="dxa"/>
            <w:tcBorders>
              <w:left w:val="single" w:sz="4" w:space="0" w:color="auto"/>
              <w:right w:val="single" w:sz="4" w:space="0" w:color="auto"/>
            </w:tcBorders>
            <w:shd w:val="clear" w:color="auto" w:fill="F2F2F2" w:themeFill="background2"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3A25B82E" w:rsidR="00C660BD" w:rsidRDefault="005B7D3A">
      <w:pPr>
        <w:spacing w:after="160" w:line="259" w:lineRule="auto"/>
        <w:rPr>
          <w:szCs w:val="20"/>
        </w:rPr>
      </w:pPr>
      <w:r>
        <w:rPr>
          <w:szCs w:val="20"/>
        </w:rPr>
        <w:br w:type="page"/>
      </w:r>
    </w:p>
    <w:p w14:paraId="79FABF34" w14:textId="772C2EB9" w:rsidR="00422EC9" w:rsidRDefault="006C5E01" w:rsidP="00DB7284">
      <w:pPr>
        <w:pStyle w:val="Heading3"/>
        <w:numPr>
          <w:ilvl w:val="2"/>
          <w:numId w:val="0"/>
        </w:numPr>
        <w:rPr>
          <w:sz w:val="20"/>
          <w:szCs w:val="20"/>
        </w:rPr>
      </w:pPr>
      <w:r w:rsidRPr="5127FCF1">
        <w:rPr>
          <w:sz w:val="20"/>
          <w:szCs w:val="20"/>
        </w:rPr>
        <w:lastRenderedPageBreak/>
        <w:t xml:space="preserve">Part </w:t>
      </w:r>
      <w:r w:rsidR="00586D5C" w:rsidRPr="5127FCF1">
        <w:rPr>
          <w:sz w:val="20"/>
          <w:szCs w:val="20"/>
        </w:rPr>
        <w:t>C.1</w:t>
      </w:r>
      <w:r w:rsidRPr="5127FCF1">
        <w:rPr>
          <w:sz w:val="20"/>
          <w:szCs w:val="20"/>
        </w:rPr>
        <w:t xml:space="preserve"> – </w:t>
      </w:r>
      <w:r w:rsidR="00D25E17" w:rsidRPr="5127FCF1">
        <w:rPr>
          <w:sz w:val="20"/>
          <w:szCs w:val="20"/>
        </w:rPr>
        <w:t xml:space="preserve">Summary of </w:t>
      </w:r>
      <w:r w:rsidR="00ED1230" w:rsidRPr="5127FCF1">
        <w:rPr>
          <w:sz w:val="20"/>
          <w:szCs w:val="20"/>
        </w:rPr>
        <w:t>I</w:t>
      </w:r>
      <w:r w:rsidR="00D25E17" w:rsidRPr="5127FCF1">
        <w:rPr>
          <w:sz w:val="20"/>
          <w:szCs w:val="20"/>
        </w:rPr>
        <w:t xml:space="preserve">mpact </w:t>
      </w:r>
      <w:r w:rsidR="00ED1230" w:rsidRPr="5127FCF1">
        <w:rPr>
          <w:sz w:val="20"/>
          <w:szCs w:val="20"/>
        </w:rPr>
        <w:t>A</w:t>
      </w:r>
      <w:r w:rsidR="00D25E17" w:rsidRPr="5127FCF1">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 xml:space="preserve">confidential rather than the </w:t>
      </w:r>
      <w:proofErr w:type="gramStart"/>
      <w:r w:rsidRPr="005B7D3A">
        <w:rPr>
          <w:rFonts w:cstheme="minorHAnsi"/>
          <w:b w:val="0"/>
          <w:bCs w:val="0"/>
          <w:i/>
          <w:iCs/>
          <w:color w:val="041425" w:themeColor="text1"/>
          <w:sz w:val="20"/>
          <w:szCs w:val="20"/>
        </w:rPr>
        <w:t>response as a whole</w:t>
      </w:r>
      <w:proofErr w:type="gramEnd"/>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9"/>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551786" w:rsidRDefault="00A76C6F" w:rsidP="00A76C6F">
      <w:pPr>
        <w:pStyle w:val="CommentText"/>
        <w:numPr>
          <w:ilvl w:val="0"/>
          <w:numId w:val="29"/>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5B15DF29" w14:textId="77777777" w:rsidR="00551786" w:rsidRDefault="00551786" w:rsidP="00551786">
      <w:pPr>
        <w:pStyle w:val="ListParagraph"/>
        <w:rPr>
          <w:b/>
          <w:bCs/>
        </w:rPr>
      </w:pPr>
    </w:p>
    <w:p w14:paraId="15D658B5" w14:textId="24447B44" w:rsidR="00551786" w:rsidRPr="00A10096" w:rsidRDefault="00551786" w:rsidP="00A76C6F">
      <w:pPr>
        <w:pStyle w:val="CommentText"/>
        <w:numPr>
          <w:ilvl w:val="0"/>
          <w:numId w:val="29"/>
        </w:numPr>
        <w:rPr>
          <w:b/>
          <w:bCs/>
        </w:rPr>
      </w:pPr>
      <w:r>
        <w:rPr>
          <w:b/>
          <w:bCs/>
        </w:rPr>
        <w:t xml:space="preserve">Indicate whether the change would have a minor, medium or significant impact on their activities, referring to slide </w:t>
      </w:r>
      <w:r w:rsidR="00281245">
        <w:rPr>
          <w:b/>
          <w:bCs/>
        </w:rPr>
        <w:t xml:space="preserve">16 of </w:t>
      </w:r>
      <w:r w:rsidR="00281245">
        <w:rPr>
          <w:b/>
          <w:bCs/>
          <w:i/>
          <w:iCs/>
        </w:rPr>
        <w:t>MHHS-DEL171 Change Control Approach</w:t>
      </w:r>
      <w:r w:rsidR="006A33A2">
        <w:rPr>
          <w:b/>
          <w:bCs/>
          <w:i/>
          <w:iCs/>
        </w:rPr>
        <w:t xml:space="preserve"> </w:t>
      </w:r>
      <w:r w:rsidR="006A33A2">
        <w:rPr>
          <w:b/>
          <w:bCs/>
        </w:rPr>
        <w:t>to asses</w:t>
      </w:r>
      <w:r w:rsidR="00AE4BB6">
        <w:rPr>
          <w:b/>
          <w:bCs/>
        </w:rPr>
        <w:t>s</w:t>
      </w:r>
      <w:r w:rsidR="006A33A2">
        <w:rPr>
          <w:b/>
          <w:bCs/>
        </w:rPr>
        <w:t xml:space="preserve"> each </w:t>
      </w:r>
      <w:r w:rsidR="00AE4BB6">
        <w:rPr>
          <w:b/>
          <w:bCs/>
        </w:rPr>
        <w:t>criterion</w:t>
      </w:r>
      <w:r w:rsidR="006A33A2">
        <w:rPr>
          <w:b/>
          <w:bCs/>
        </w:rPr>
        <w:t xml:space="preserve">, using N/A to indicate no impact. </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9"/>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FB7EE4" w:rsidRDefault="00110B00" w:rsidP="004D272C">
            <w:pPr>
              <w:pStyle w:val="MHHSBody"/>
              <w:rPr>
                <w:b/>
                <w:bCs/>
                <w:color w:val="041425" w:themeColor="text1"/>
                <w:u w:val="single"/>
              </w:rPr>
            </w:pPr>
            <w:r w:rsidRPr="00FB7EE4">
              <w:rPr>
                <w:b/>
                <w:bCs/>
                <w:color w:val="041425" w:themeColor="text1"/>
                <w:u w:val="single"/>
              </w:rPr>
              <w:t>Effect on benefits</w:t>
            </w:r>
          </w:p>
          <w:p w14:paraId="4B0E24DB" w14:textId="2CA314D8" w:rsidR="007B7230" w:rsidRPr="00FB7EE4" w:rsidRDefault="00C87892" w:rsidP="004D272C">
            <w:pPr>
              <w:pStyle w:val="MHHSBody"/>
              <w:rPr>
                <w:rFonts w:cstheme="minorHAnsi"/>
                <w:i/>
                <w:iCs/>
                <w:color w:val="041425" w:themeColor="text1"/>
                <w:szCs w:val="20"/>
              </w:rPr>
            </w:pPr>
            <w:r w:rsidRPr="00FB7EE4">
              <w:rPr>
                <w:rFonts w:cstheme="minorHAnsi"/>
                <w:i/>
                <w:iCs/>
                <w:color w:val="041425" w:themeColor="text1"/>
                <w:szCs w:val="20"/>
              </w:rPr>
              <w:t>Ensures NFRs are fit for purpose, any resulting testing effort and ongoing application infrastructure to support the same is efficient.</w:t>
            </w: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15450302"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09811175" w14:textId="260CAD33" w:rsidR="00B61403" w:rsidRDefault="00C70852" w:rsidP="00C70852">
            <w:pPr>
              <w:pStyle w:val="MHHSBody"/>
              <w:rPr>
                <w:i/>
                <w:iCs/>
                <w:color w:val="FF0000"/>
              </w:rPr>
            </w:pPr>
            <w:r w:rsidRPr="00484B40">
              <w:rPr>
                <w:i/>
                <w:iCs/>
                <w:color w:val="FF0000"/>
              </w:rPr>
              <w:t>Where possible, contextual information should be included e.g. the benefit will be delayed by X weeks; the change means Y population will also realise the benefit.</w:t>
            </w:r>
          </w:p>
          <w:p w14:paraId="28A0E5E8" w14:textId="3C633429" w:rsidR="00CA1176" w:rsidRDefault="00B61403" w:rsidP="00C70852">
            <w:pPr>
              <w:pStyle w:val="MHHSBody"/>
              <w:rPr>
                <w:i/>
                <w:iCs/>
                <w:color w:val="FF0000"/>
              </w:rPr>
            </w:pPr>
            <w:r>
              <w:rPr>
                <w:i/>
                <w:iCs/>
                <w:color w:val="FF0000"/>
              </w:rPr>
              <w:t>Please indicate below</w:t>
            </w:r>
            <w:r w:rsidR="00DF6353">
              <w:rPr>
                <w:i/>
                <w:iCs/>
                <w:color w:val="FF0000"/>
              </w:rPr>
              <w:t xml:space="preserve">, using an (X), </w:t>
            </w:r>
            <w:r>
              <w:rPr>
                <w:i/>
                <w:iCs/>
                <w:color w:val="FF0000"/>
              </w:rPr>
              <w:t>the extent to whi</w:t>
            </w:r>
            <w:r w:rsidR="00357AC2">
              <w:rPr>
                <w:i/>
                <w:iCs/>
                <w:color w:val="FF0000"/>
              </w:rPr>
              <w:t>ch you believe implementing this change would impact Programme benefits.</w:t>
            </w:r>
          </w:p>
          <w:tbl>
            <w:tblPr>
              <w:tblStyle w:val="ElexonBasicTable"/>
              <w:tblW w:w="0" w:type="auto"/>
              <w:tblLook w:val="04A0" w:firstRow="1" w:lastRow="0" w:firstColumn="1" w:lastColumn="0" w:noHBand="0" w:noVBand="1"/>
            </w:tblPr>
            <w:tblGrid>
              <w:gridCol w:w="3436"/>
              <w:gridCol w:w="3437"/>
              <w:gridCol w:w="3437"/>
            </w:tblGrid>
            <w:tr w:rsidR="00775BC8" w14:paraId="27972343" w14:textId="77777777" w:rsidTr="00775BC8">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68CB81FB" w14:textId="4640A80B" w:rsidR="00775BC8" w:rsidRPr="00775BC8" w:rsidRDefault="00775BC8" w:rsidP="00775BC8">
                  <w:pPr>
                    <w:pStyle w:val="MHHSBody"/>
                    <w:numPr>
                      <w:ilvl w:val="0"/>
                      <w:numId w:val="31"/>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62465DD6" w14:textId="6A373020" w:rsidR="00775BC8" w:rsidRPr="00775BC8" w:rsidRDefault="00775BC8" w:rsidP="00775BC8">
                  <w:pPr>
                    <w:pStyle w:val="MHHSBody"/>
                    <w:numPr>
                      <w:ilvl w:val="0"/>
                      <w:numId w:val="31"/>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408ACAE9" w14:textId="07D4A284" w:rsidR="00775BC8" w:rsidRPr="00775BC8" w:rsidRDefault="00775BC8" w:rsidP="00775BC8">
                  <w:pPr>
                    <w:pStyle w:val="MHHSBody"/>
                    <w:numPr>
                      <w:ilvl w:val="0"/>
                      <w:numId w:val="31"/>
                    </w:numPr>
                    <w:rPr>
                      <w:i/>
                      <w:iCs/>
                      <w:color w:val="FFFFFF" w:themeColor="background1"/>
                    </w:rPr>
                  </w:pPr>
                  <w:r w:rsidRPr="00775BC8">
                    <w:rPr>
                      <w:i/>
                      <w:iCs/>
                      <w:color w:val="FFFFFF" w:themeColor="background1"/>
                    </w:rPr>
                    <w:t>Significant impact</w:t>
                  </w:r>
                </w:p>
              </w:tc>
            </w:tr>
            <w:tr w:rsidR="00775BC8" w14:paraId="53B27111" w14:textId="77777777" w:rsidTr="00775BC8">
              <w:tc>
                <w:tcPr>
                  <w:tcW w:w="3436" w:type="dxa"/>
                  <w:tcBorders>
                    <w:right w:val="single" w:sz="4" w:space="0" w:color="auto"/>
                  </w:tcBorders>
                </w:tcPr>
                <w:p w14:paraId="6C309A47" w14:textId="5FBFDEDA"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1F9B86F0" w14:textId="510D4FFB" w:rsidR="00775BC8" w:rsidRDefault="00775BC8" w:rsidP="00775BC8">
                  <w:pPr>
                    <w:pStyle w:val="MHHSBody"/>
                    <w:jc w:val="center"/>
                    <w:rPr>
                      <w:i/>
                      <w:iCs/>
                      <w:color w:val="FF0000"/>
                    </w:rPr>
                  </w:pPr>
                </w:p>
              </w:tc>
              <w:tc>
                <w:tcPr>
                  <w:tcW w:w="3437" w:type="dxa"/>
                  <w:tcBorders>
                    <w:left w:val="single" w:sz="4" w:space="0" w:color="auto"/>
                  </w:tcBorders>
                </w:tcPr>
                <w:p w14:paraId="2C94634E" w14:textId="77777777" w:rsidR="00775BC8" w:rsidRDefault="00775BC8" w:rsidP="00775BC8">
                  <w:pPr>
                    <w:pStyle w:val="MHHSBody"/>
                    <w:jc w:val="center"/>
                    <w:rPr>
                      <w:i/>
                      <w:iCs/>
                      <w:color w:val="FF0000"/>
                    </w:rPr>
                  </w:pPr>
                </w:p>
              </w:tc>
            </w:tr>
          </w:tbl>
          <w:p w14:paraId="6C219281" w14:textId="77777777" w:rsidR="00DF6353" w:rsidRDefault="00DF6353" w:rsidP="00C70852">
            <w:pPr>
              <w:pStyle w:val="MHHSBody"/>
              <w:rPr>
                <w:i/>
                <w:iCs/>
                <w:color w:val="FF0000"/>
              </w:rPr>
            </w:pPr>
          </w:p>
          <w:p w14:paraId="32369AFD" w14:textId="6B0CE3B5" w:rsidR="00775BC8" w:rsidRPr="000678F9" w:rsidRDefault="00775BC8" w:rsidP="00C70852">
            <w:pPr>
              <w:pStyle w:val="MHHSBody"/>
              <w:rPr>
                <w:i/>
                <w:iCs/>
                <w:color w:val="FF0000"/>
              </w:rPr>
            </w:pP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0F11A927" w14:textId="77777777" w:rsidR="003960AC" w:rsidRPr="00FB7EE4" w:rsidRDefault="003960AC" w:rsidP="003960AC">
            <w:pPr>
              <w:pStyle w:val="MHHSBody"/>
              <w:rPr>
                <w:rFonts w:cstheme="minorHAnsi"/>
                <w:i/>
                <w:iCs/>
                <w:color w:val="041425" w:themeColor="text1"/>
                <w:szCs w:val="20"/>
              </w:rPr>
            </w:pPr>
            <w:r w:rsidRPr="00FB7EE4">
              <w:rPr>
                <w:rFonts w:cstheme="minorHAnsi"/>
                <w:i/>
                <w:iCs/>
                <w:color w:val="041425" w:themeColor="text1"/>
                <w:szCs w:val="20"/>
              </w:rPr>
              <w:t>There would be increased unnecessary costs for infrastructure and resources to support testing of some NFRs, which are already collectively accepted as incorrect. Such costs would ultimately be borne by customers.</w:t>
            </w:r>
          </w:p>
          <w:p w14:paraId="6EF717EE" w14:textId="7ACF8E91" w:rsidR="00214B3C" w:rsidRPr="005B7D3A" w:rsidRDefault="00214B3C" w:rsidP="00214B3C">
            <w:pPr>
              <w:pStyle w:val="MHHSBody"/>
              <w:rPr>
                <w:color w:val="041425" w:themeColor="text1"/>
              </w:rPr>
            </w:pPr>
            <w:r w:rsidRPr="005B7D3A">
              <w:rPr>
                <w:color w:val="041425" w:themeColor="text1"/>
                <w:shd w:val="clear" w:color="auto" w:fill="E6E6E6"/>
              </w:rPr>
              <w:fldChar w:fldCharType="begin">
                <w:ffData>
                  <w:name w:val="Text51"/>
                  <w:enabled/>
                  <w:calcOnExit w:val="0"/>
                  <w:textInput/>
                </w:ffData>
              </w:fldChar>
            </w:r>
            <w:bookmarkStart w:id="10" w:name="Text51"/>
            <w:r w:rsidRPr="005B7D3A">
              <w:rPr>
                <w:color w:val="041425" w:themeColor="text1"/>
              </w:rPr>
              <w:instrText xml:space="preserve"> FORMTEXT </w:instrText>
            </w:r>
            <w:r w:rsidR="00000000">
              <w:rPr>
                <w:color w:val="041425" w:themeColor="text1"/>
                <w:shd w:val="clear" w:color="auto" w:fill="E6E6E6"/>
              </w:rPr>
            </w:r>
            <w:r w:rsidR="00000000">
              <w:rPr>
                <w:color w:val="041425" w:themeColor="text1"/>
                <w:shd w:val="clear" w:color="auto" w:fill="E6E6E6"/>
              </w:rPr>
              <w:fldChar w:fldCharType="separate"/>
            </w:r>
            <w:r w:rsidRPr="005B7D3A">
              <w:rPr>
                <w:color w:val="041425" w:themeColor="text1"/>
                <w:shd w:val="clear" w:color="auto" w:fill="E6E6E6"/>
              </w:rPr>
              <w:fldChar w:fldCharType="end"/>
            </w:r>
            <w:bookmarkEnd w:id="10"/>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lastRenderedPageBreak/>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76CFEB40" w14:textId="77777777" w:rsidR="00AF4AE2" w:rsidRDefault="00AB196D" w:rsidP="00AF4AE2">
            <w:pPr>
              <w:pStyle w:val="MHHSBody"/>
              <w:rPr>
                <w:rFonts w:cstheme="minorHAnsi"/>
                <w:i/>
                <w:iCs/>
                <w:color w:val="FF0000"/>
                <w:szCs w:val="20"/>
              </w:rPr>
            </w:pPr>
            <w:r w:rsidRPr="006A0471">
              <w:rPr>
                <w:rFonts w:cstheme="minorHAnsi"/>
                <w:i/>
                <w:iCs/>
                <w:color w:val="FF0000"/>
                <w:szCs w:val="20"/>
              </w:rPr>
              <w:t>Where possible, contextual information should be included e.g. what is the scale of the effect? Will the effect be permanent?</w:t>
            </w:r>
          </w:p>
          <w:p w14:paraId="0A97FCEA" w14:textId="19EDB1D0" w:rsidR="00E54559" w:rsidRPr="00E54559" w:rsidRDefault="00E54559" w:rsidP="00AF4AE2">
            <w:pPr>
              <w:pStyle w:val="MHHSBody"/>
              <w:rPr>
                <w:i/>
                <w:iCs/>
                <w:color w:val="FF0000"/>
              </w:rPr>
            </w:pPr>
            <w:r>
              <w:rPr>
                <w:i/>
                <w:iCs/>
                <w:color w:val="FF0000"/>
              </w:rPr>
              <w:t>Please indicate below, using an (X), the extent to which you believe implementing this change would impact consumers.</w:t>
            </w:r>
          </w:p>
          <w:tbl>
            <w:tblPr>
              <w:tblStyle w:val="ElexonBasicTable"/>
              <w:tblW w:w="0" w:type="auto"/>
              <w:tblLook w:val="04A0" w:firstRow="1" w:lastRow="0" w:firstColumn="1" w:lastColumn="0" w:noHBand="0" w:noVBand="1"/>
            </w:tblPr>
            <w:tblGrid>
              <w:gridCol w:w="3436"/>
              <w:gridCol w:w="3437"/>
              <w:gridCol w:w="3437"/>
            </w:tblGrid>
            <w:tr w:rsidR="00775BC8" w:rsidRPr="00775BC8" w14:paraId="19090647"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1B6A6B3D" w14:textId="77777777" w:rsidR="00775BC8" w:rsidRPr="00775BC8" w:rsidRDefault="00775BC8" w:rsidP="00775BC8">
                  <w:pPr>
                    <w:pStyle w:val="MHHSBody"/>
                    <w:numPr>
                      <w:ilvl w:val="0"/>
                      <w:numId w:val="32"/>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5CA0D1C2" w14:textId="77777777" w:rsidR="00775BC8" w:rsidRPr="00775BC8" w:rsidRDefault="00775BC8" w:rsidP="00775BC8">
                  <w:pPr>
                    <w:pStyle w:val="MHHSBody"/>
                    <w:numPr>
                      <w:ilvl w:val="0"/>
                      <w:numId w:val="32"/>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209BEE13" w14:textId="77777777" w:rsidR="00775BC8" w:rsidRPr="00775BC8" w:rsidRDefault="00775BC8" w:rsidP="00775BC8">
                  <w:pPr>
                    <w:pStyle w:val="MHHSBody"/>
                    <w:numPr>
                      <w:ilvl w:val="0"/>
                      <w:numId w:val="32"/>
                    </w:numPr>
                    <w:rPr>
                      <w:i/>
                      <w:iCs/>
                      <w:color w:val="FFFFFF" w:themeColor="background1"/>
                    </w:rPr>
                  </w:pPr>
                  <w:r w:rsidRPr="00775BC8">
                    <w:rPr>
                      <w:i/>
                      <w:iCs/>
                      <w:color w:val="FFFFFF" w:themeColor="background1"/>
                    </w:rPr>
                    <w:t>Significant impact</w:t>
                  </w:r>
                </w:p>
              </w:tc>
            </w:tr>
            <w:tr w:rsidR="00775BC8" w14:paraId="1DF00614" w14:textId="77777777" w:rsidTr="006A7F17">
              <w:tc>
                <w:tcPr>
                  <w:tcW w:w="3436" w:type="dxa"/>
                  <w:tcBorders>
                    <w:right w:val="single" w:sz="4" w:space="0" w:color="auto"/>
                  </w:tcBorders>
                </w:tcPr>
                <w:p w14:paraId="0A428E30"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36558A59" w14:textId="77777777" w:rsidR="00775BC8" w:rsidRDefault="00775BC8" w:rsidP="00775BC8">
                  <w:pPr>
                    <w:pStyle w:val="MHHSBody"/>
                    <w:jc w:val="center"/>
                    <w:rPr>
                      <w:i/>
                      <w:iCs/>
                      <w:color w:val="FF0000"/>
                    </w:rPr>
                  </w:pPr>
                </w:p>
              </w:tc>
              <w:tc>
                <w:tcPr>
                  <w:tcW w:w="3437" w:type="dxa"/>
                  <w:tcBorders>
                    <w:left w:val="single" w:sz="4" w:space="0" w:color="auto"/>
                  </w:tcBorders>
                </w:tcPr>
                <w:p w14:paraId="0AA95A0B" w14:textId="77777777" w:rsidR="00775BC8" w:rsidRDefault="00775BC8" w:rsidP="00775BC8">
                  <w:pPr>
                    <w:pStyle w:val="MHHSBody"/>
                    <w:jc w:val="center"/>
                    <w:rPr>
                      <w:i/>
                      <w:iCs/>
                      <w:color w:val="FF0000"/>
                    </w:rPr>
                  </w:pPr>
                </w:p>
              </w:tc>
            </w:tr>
          </w:tbl>
          <w:p w14:paraId="6CA11D83" w14:textId="77777777" w:rsidR="00E54559" w:rsidRDefault="00E54559" w:rsidP="00AF4AE2">
            <w:pPr>
              <w:pStyle w:val="MHHSBody"/>
              <w:rPr>
                <w:i/>
                <w:iCs/>
                <w:color w:val="FF0000"/>
              </w:rPr>
            </w:pPr>
          </w:p>
          <w:p w14:paraId="6CD25AD7" w14:textId="31236188" w:rsidR="00E54559" w:rsidRPr="00AB196D" w:rsidRDefault="00E54559" w:rsidP="00AF4AE2">
            <w:pPr>
              <w:pStyle w:val="MHHSBody"/>
              <w:rPr>
                <w:i/>
                <w:iCs/>
                <w:color w:val="FF0000"/>
              </w:rPr>
            </w:pPr>
          </w:p>
        </w:tc>
      </w:tr>
      <w:tr w:rsidR="00AF4AE2" w:rsidRPr="005B7D3A" w14:paraId="7512CF01" w14:textId="77777777" w:rsidTr="004D272C">
        <w:tc>
          <w:tcPr>
            <w:tcW w:w="10536" w:type="dxa"/>
          </w:tcPr>
          <w:p w14:paraId="7C3C63CD" w14:textId="54605DA2" w:rsidR="00AF4AE2" w:rsidRPr="00FB7EE4" w:rsidRDefault="00AF4AE2" w:rsidP="00AF4AE2">
            <w:pPr>
              <w:pStyle w:val="MHHSBody"/>
              <w:rPr>
                <w:b/>
                <w:bCs/>
                <w:color w:val="041425" w:themeColor="text1"/>
                <w:u w:val="single"/>
              </w:rPr>
            </w:pPr>
            <w:r w:rsidRPr="00FB7EE4">
              <w:rPr>
                <w:b/>
                <w:bCs/>
                <w:color w:val="041425" w:themeColor="text1"/>
                <w:u w:val="single"/>
              </w:rPr>
              <w:lastRenderedPageBreak/>
              <w:t>Effect on schedule</w:t>
            </w:r>
          </w:p>
          <w:p w14:paraId="33CDB12D" w14:textId="77C28F01" w:rsidR="00AF4AE2" w:rsidRPr="00FB7EE4" w:rsidRDefault="00DE488A" w:rsidP="001C3ACC">
            <w:pPr>
              <w:pStyle w:val="MHHSBody"/>
              <w:rPr>
                <w:color w:val="041425" w:themeColor="text1"/>
                <w:u w:val="single"/>
              </w:rPr>
            </w:pPr>
            <w:r w:rsidRPr="00FB7EE4">
              <w:rPr>
                <w:rFonts w:cstheme="minorHAnsi"/>
                <w:i/>
                <w:iCs/>
                <w:color w:val="041425" w:themeColor="text1"/>
                <w:szCs w:val="20"/>
              </w:rPr>
              <w:t>If this CR is approved, arguably this helps ensure the current schedule is not impacted. If this CR is not accepted, collectively, LDSOs are concerned of an impact to M10, this is by virtue of impacts to other programme milestones</w:t>
            </w: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4FAE3EE6" w14:textId="77777777" w:rsidR="009056D8" w:rsidRDefault="00F86A0D" w:rsidP="00F86A0D">
            <w:pPr>
              <w:pStyle w:val="MHHSBody"/>
              <w:rPr>
                <w:rFonts w:cstheme="minorHAnsi"/>
                <w:i/>
                <w:iCs/>
                <w:color w:val="FF0000"/>
                <w:szCs w:val="20"/>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p w14:paraId="65BE1246" w14:textId="21304F9B" w:rsidR="00E54559" w:rsidRPr="00E54559" w:rsidRDefault="00E54559" w:rsidP="00F86A0D">
            <w:pPr>
              <w:pStyle w:val="MHHSBody"/>
              <w:rPr>
                <w:i/>
                <w:iCs/>
                <w:color w:val="FF0000"/>
              </w:rPr>
            </w:pPr>
            <w:r>
              <w:rPr>
                <w:i/>
                <w:iCs/>
                <w:color w:val="FF0000"/>
              </w:rPr>
              <w:t>Please indicate below, using an (X), the extent to which you believe implementing this change would impact</w:t>
            </w:r>
            <w:r w:rsidR="001A6DC3">
              <w:rPr>
                <w:i/>
                <w:iCs/>
                <w:color w:val="FF0000"/>
              </w:rPr>
              <w:t xml:space="preserve"> your ability to meet the </w:t>
            </w:r>
            <w:proofErr w:type="spellStart"/>
            <w:r w:rsidR="001A6DC3">
              <w:rPr>
                <w:i/>
                <w:iCs/>
                <w:color w:val="FF0000"/>
              </w:rPr>
              <w:t>Prohgramme</w:t>
            </w:r>
            <w:proofErr w:type="spellEnd"/>
            <w:r>
              <w:rPr>
                <w:i/>
                <w:iCs/>
                <w:color w:val="FF0000"/>
              </w:rPr>
              <w:t xml:space="preserve"> schedule.</w:t>
            </w:r>
          </w:p>
          <w:tbl>
            <w:tblPr>
              <w:tblStyle w:val="ElexonBasicTable"/>
              <w:tblW w:w="0" w:type="auto"/>
              <w:tblLook w:val="04A0" w:firstRow="1" w:lastRow="0" w:firstColumn="1" w:lastColumn="0" w:noHBand="0" w:noVBand="1"/>
            </w:tblPr>
            <w:tblGrid>
              <w:gridCol w:w="3436"/>
              <w:gridCol w:w="3437"/>
              <w:gridCol w:w="3437"/>
            </w:tblGrid>
            <w:tr w:rsidR="00775BC8" w:rsidRPr="00775BC8" w14:paraId="73A69B5C"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395CF4DF" w14:textId="77777777" w:rsidR="00775BC8" w:rsidRPr="00775BC8" w:rsidRDefault="00775BC8" w:rsidP="00775BC8">
                  <w:pPr>
                    <w:pStyle w:val="MHHSBody"/>
                    <w:numPr>
                      <w:ilvl w:val="0"/>
                      <w:numId w:val="33"/>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3E2AE3D5" w14:textId="77777777" w:rsidR="00775BC8" w:rsidRPr="00775BC8" w:rsidRDefault="00775BC8" w:rsidP="00775BC8">
                  <w:pPr>
                    <w:pStyle w:val="MHHSBody"/>
                    <w:numPr>
                      <w:ilvl w:val="0"/>
                      <w:numId w:val="33"/>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0E732D89" w14:textId="77777777" w:rsidR="00775BC8" w:rsidRPr="00775BC8" w:rsidRDefault="00775BC8" w:rsidP="00775BC8">
                  <w:pPr>
                    <w:pStyle w:val="MHHSBody"/>
                    <w:numPr>
                      <w:ilvl w:val="0"/>
                      <w:numId w:val="33"/>
                    </w:numPr>
                    <w:rPr>
                      <w:i/>
                      <w:iCs/>
                      <w:color w:val="FFFFFF" w:themeColor="background1"/>
                    </w:rPr>
                  </w:pPr>
                  <w:r w:rsidRPr="00775BC8">
                    <w:rPr>
                      <w:i/>
                      <w:iCs/>
                      <w:color w:val="FFFFFF" w:themeColor="background1"/>
                    </w:rPr>
                    <w:t>Significant impact</w:t>
                  </w:r>
                </w:p>
              </w:tc>
            </w:tr>
            <w:tr w:rsidR="00775BC8" w14:paraId="044F0515" w14:textId="77777777" w:rsidTr="006A7F17">
              <w:tc>
                <w:tcPr>
                  <w:tcW w:w="3436" w:type="dxa"/>
                  <w:tcBorders>
                    <w:right w:val="single" w:sz="4" w:space="0" w:color="auto"/>
                  </w:tcBorders>
                </w:tcPr>
                <w:p w14:paraId="59A31A45"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6133C106" w14:textId="77777777" w:rsidR="00775BC8" w:rsidRDefault="00775BC8" w:rsidP="00775BC8">
                  <w:pPr>
                    <w:pStyle w:val="MHHSBody"/>
                    <w:jc w:val="center"/>
                    <w:rPr>
                      <w:i/>
                      <w:iCs/>
                      <w:color w:val="FF0000"/>
                    </w:rPr>
                  </w:pPr>
                </w:p>
              </w:tc>
              <w:tc>
                <w:tcPr>
                  <w:tcW w:w="3437" w:type="dxa"/>
                  <w:tcBorders>
                    <w:left w:val="single" w:sz="4" w:space="0" w:color="auto"/>
                  </w:tcBorders>
                </w:tcPr>
                <w:p w14:paraId="1980FBF7" w14:textId="77777777" w:rsidR="00775BC8" w:rsidRDefault="00775BC8" w:rsidP="00775BC8">
                  <w:pPr>
                    <w:pStyle w:val="MHHSBody"/>
                    <w:jc w:val="center"/>
                    <w:rPr>
                      <w:i/>
                      <w:iCs/>
                      <w:color w:val="FF0000"/>
                    </w:rPr>
                  </w:pPr>
                </w:p>
              </w:tc>
            </w:tr>
          </w:tbl>
          <w:p w14:paraId="7A76465D" w14:textId="77777777" w:rsidR="00E54559" w:rsidRDefault="00E54559" w:rsidP="00F86A0D">
            <w:pPr>
              <w:pStyle w:val="MHHSBody"/>
              <w:rPr>
                <w:i/>
                <w:iCs/>
                <w:color w:val="FF0000"/>
              </w:rPr>
            </w:pPr>
          </w:p>
          <w:p w14:paraId="0FD40B9E" w14:textId="617B1BD5" w:rsidR="00E54559" w:rsidRPr="005B7D3A" w:rsidRDefault="00E54559" w:rsidP="00F86A0D">
            <w:pPr>
              <w:pStyle w:val="MHHSBody"/>
              <w:rPr>
                <w:i/>
                <w:iCs/>
                <w:color w:val="041425" w:themeColor="text1"/>
              </w:rPr>
            </w:pPr>
          </w:p>
        </w:tc>
      </w:tr>
      <w:tr w:rsidR="009056D8" w:rsidRPr="005B7D3A" w14:paraId="38F23956" w14:textId="77777777" w:rsidTr="004D272C">
        <w:tc>
          <w:tcPr>
            <w:tcW w:w="10536" w:type="dxa"/>
          </w:tcPr>
          <w:p w14:paraId="6D9C5A63" w14:textId="4BDEB648" w:rsidR="009056D8" w:rsidRPr="00FB7EE4" w:rsidRDefault="009056D8" w:rsidP="009056D8">
            <w:pPr>
              <w:pStyle w:val="MHHSBody"/>
              <w:rPr>
                <w:b/>
                <w:bCs/>
                <w:color w:val="041425" w:themeColor="text1"/>
                <w:u w:val="single"/>
              </w:rPr>
            </w:pPr>
            <w:r w:rsidRPr="00FB7EE4">
              <w:rPr>
                <w:b/>
                <w:bCs/>
                <w:color w:val="041425" w:themeColor="text1"/>
                <w:u w:val="single"/>
              </w:rPr>
              <w:t>Effect on costs</w:t>
            </w:r>
          </w:p>
          <w:p w14:paraId="22448014" w14:textId="0147AE2C" w:rsidR="009056D8" w:rsidRPr="00FB7EE4" w:rsidRDefault="00565B78" w:rsidP="009056D8">
            <w:pPr>
              <w:pStyle w:val="MHHSBody"/>
              <w:rPr>
                <w:b/>
                <w:bCs/>
                <w:color w:val="041425" w:themeColor="text1"/>
                <w:u w:val="single"/>
              </w:rPr>
            </w:pPr>
            <w:r w:rsidRPr="00FB7EE4">
              <w:rPr>
                <w:rFonts w:cstheme="minorHAnsi"/>
                <w:i/>
                <w:iCs/>
                <w:color w:val="041425" w:themeColor="text1"/>
                <w:szCs w:val="20"/>
              </w:rPr>
              <w:t>There would be increased unnecessary costs for infrastructure and resources to support testing of some NFRs, which are already collectively accepted as incorrect. Such costs whilst initially sitting with LDSOs, would ultimately be borne by customers.</w:t>
            </w:r>
            <w:r w:rsidR="009056D8" w:rsidRPr="00FB7EE4">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2690EDB0" w14:textId="77777777" w:rsidR="002E3B9C" w:rsidRDefault="001E621D" w:rsidP="001E621D">
            <w:pPr>
              <w:pStyle w:val="MHHSBody"/>
              <w:rPr>
                <w:i/>
                <w:iCs/>
                <w:color w:val="FF0000"/>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p w14:paraId="1D958C7D" w14:textId="28D9596E" w:rsidR="00E54559" w:rsidRDefault="00E54559" w:rsidP="001E621D">
            <w:pPr>
              <w:pStyle w:val="MHHSBody"/>
              <w:rPr>
                <w:i/>
                <w:iCs/>
                <w:color w:val="FF0000"/>
              </w:rPr>
            </w:pPr>
            <w:r>
              <w:rPr>
                <w:i/>
                <w:iCs/>
                <w:color w:val="FF0000"/>
              </w:rPr>
              <w:t>Please indicate below, using an (X), the extent to which you believe implementing this change would impact your organisation’s costs.</w:t>
            </w:r>
          </w:p>
          <w:tbl>
            <w:tblPr>
              <w:tblStyle w:val="ElexonBasicTable"/>
              <w:tblW w:w="0" w:type="auto"/>
              <w:tblLook w:val="04A0" w:firstRow="1" w:lastRow="0" w:firstColumn="1" w:lastColumn="0" w:noHBand="0" w:noVBand="1"/>
            </w:tblPr>
            <w:tblGrid>
              <w:gridCol w:w="3436"/>
              <w:gridCol w:w="3437"/>
              <w:gridCol w:w="3437"/>
            </w:tblGrid>
            <w:tr w:rsidR="00775BC8" w:rsidRPr="00775BC8" w14:paraId="71BCBB05"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41DF5B05" w14:textId="77777777" w:rsidR="00775BC8" w:rsidRPr="00775BC8" w:rsidRDefault="00775BC8" w:rsidP="00775BC8">
                  <w:pPr>
                    <w:pStyle w:val="MHHSBody"/>
                    <w:numPr>
                      <w:ilvl w:val="0"/>
                      <w:numId w:val="34"/>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30B396AD" w14:textId="77777777" w:rsidR="00775BC8" w:rsidRPr="00775BC8" w:rsidRDefault="00775BC8" w:rsidP="00775BC8">
                  <w:pPr>
                    <w:pStyle w:val="MHHSBody"/>
                    <w:numPr>
                      <w:ilvl w:val="0"/>
                      <w:numId w:val="34"/>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74A825BD" w14:textId="77777777" w:rsidR="00775BC8" w:rsidRPr="00775BC8" w:rsidRDefault="00775BC8" w:rsidP="00775BC8">
                  <w:pPr>
                    <w:pStyle w:val="MHHSBody"/>
                    <w:numPr>
                      <w:ilvl w:val="0"/>
                      <w:numId w:val="34"/>
                    </w:numPr>
                    <w:rPr>
                      <w:i/>
                      <w:iCs/>
                      <w:color w:val="FFFFFF" w:themeColor="background1"/>
                    </w:rPr>
                  </w:pPr>
                  <w:r w:rsidRPr="00775BC8">
                    <w:rPr>
                      <w:i/>
                      <w:iCs/>
                      <w:color w:val="FFFFFF" w:themeColor="background1"/>
                    </w:rPr>
                    <w:t>Significant impact</w:t>
                  </w:r>
                </w:p>
              </w:tc>
            </w:tr>
            <w:tr w:rsidR="00775BC8" w14:paraId="73D0758B" w14:textId="77777777" w:rsidTr="006A7F17">
              <w:tc>
                <w:tcPr>
                  <w:tcW w:w="3436" w:type="dxa"/>
                  <w:tcBorders>
                    <w:right w:val="single" w:sz="4" w:space="0" w:color="auto"/>
                  </w:tcBorders>
                </w:tcPr>
                <w:p w14:paraId="705F964A"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1E158F3E" w14:textId="77777777" w:rsidR="00775BC8" w:rsidRDefault="00775BC8" w:rsidP="00775BC8">
                  <w:pPr>
                    <w:pStyle w:val="MHHSBody"/>
                    <w:jc w:val="center"/>
                    <w:rPr>
                      <w:i/>
                      <w:iCs/>
                      <w:color w:val="FF0000"/>
                    </w:rPr>
                  </w:pPr>
                </w:p>
              </w:tc>
              <w:tc>
                <w:tcPr>
                  <w:tcW w:w="3437" w:type="dxa"/>
                  <w:tcBorders>
                    <w:left w:val="single" w:sz="4" w:space="0" w:color="auto"/>
                  </w:tcBorders>
                </w:tcPr>
                <w:p w14:paraId="3C2508D4" w14:textId="77777777" w:rsidR="00775BC8" w:rsidRDefault="00775BC8" w:rsidP="00775BC8">
                  <w:pPr>
                    <w:pStyle w:val="MHHSBody"/>
                    <w:jc w:val="center"/>
                    <w:rPr>
                      <w:i/>
                      <w:iCs/>
                      <w:color w:val="FF0000"/>
                    </w:rPr>
                  </w:pPr>
                </w:p>
              </w:tc>
            </w:tr>
          </w:tbl>
          <w:p w14:paraId="097CD01C" w14:textId="4EC8FDC6" w:rsidR="00E54559" w:rsidRPr="005B7D3A" w:rsidRDefault="00E54559" w:rsidP="001E621D">
            <w:pPr>
              <w:pStyle w:val="MHHSBody"/>
              <w:rPr>
                <w:b/>
                <w:bCs/>
                <w:color w:val="041425" w:themeColor="text1"/>
                <w:u w:val="single"/>
              </w:rPr>
            </w:pP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Effect on resources</w:t>
            </w:r>
          </w:p>
          <w:p w14:paraId="17ECE974" w14:textId="77777777" w:rsidR="0098780F" w:rsidRPr="00FB7EE4" w:rsidRDefault="0098780F" w:rsidP="0098780F">
            <w:pPr>
              <w:rPr>
                <w:rFonts w:ascii="Calibri" w:hAnsi="Calibri"/>
                <w:color w:val="041425" w:themeColor="text1"/>
              </w:rPr>
            </w:pPr>
            <w:r w:rsidRPr="00FB7EE4">
              <w:rPr>
                <w:rFonts w:cstheme="minorHAnsi"/>
                <w:i/>
                <w:iCs/>
                <w:color w:val="041425" w:themeColor="text1"/>
                <w:szCs w:val="20"/>
              </w:rPr>
              <w:t>There would be increased infrastructure and resources to support testing of some NFRs, which are already collectively accepted as incorrect</w:t>
            </w:r>
            <w:r w:rsidRPr="00FB7EE4">
              <w:rPr>
                <w:rFonts w:ascii="Calibri" w:hAnsi="Calibri"/>
                <w:color w:val="041425" w:themeColor="text1"/>
              </w:rPr>
              <w:t xml:space="preserve">. </w:t>
            </w:r>
          </w:p>
          <w:p w14:paraId="556B106E" w14:textId="7BE22C46" w:rsidR="002E3B9C" w:rsidRPr="005B7D3A"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28D57327" w14:textId="77777777" w:rsidR="002E3B9C" w:rsidRDefault="00B658FF" w:rsidP="00B658FF">
            <w:pPr>
              <w:pStyle w:val="MHHSBody"/>
              <w:rPr>
                <w:rFonts w:cstheme="minorHAnsi"/>
                <w:i/>
                <w:iCs/>
                <w:color w:val="FF0000"/>
                <w:szCs w:val="20"/>
              </w:rPr>
            </w:pPr>
            <w:r w:rsidRPr="00A441CE">
              <w:rPr>
                <w:rFonts w:cstheme="minorHAnsi"/>
                <w:i/>
                <w:iCs/>
                <w:color w:val="FF0000"/>
                <w:szCs w:val="20"/>
              </w:rPr>
              <w:t xml:space="preserve">Where possible, contextual information should be included e.g. the change will require X additional staff for Y </w:t>
            </w:r>
            <w:proofErr w:type="gramStart"/>
            <w:r w:rsidRPr="00A441CE">
              <w:rPr>
                <w:rFonts w:cstheme="minorHAnsi"/>
                <w:i/>
                <w:iCs/>
                <w:color w:val="FF0000"/>
                <w:szCs w:val="20"/>
              </w:rPr>
              <w:t>period of time</w:t>
            </w:r>
            <w:proofErr w:type="gramEnd"/>
            <w:r w:rsidRPr="00A441CE">
              <w:rPr>
                <w:rFonts w:cstheme="minorHAnsi"/>
                <w:i/>
                <w:iCs/>
                <w:color w:val="FF0000"/>
                <w:szCs w:val="20"/>
              </w:rPr>
              <w:t>; the change requires Z training or support.</w:t>
            </w:r>
          </w:p>
          <w:p w14:paraId="2241F132" w14:textId="466594FB" w:rsidR="00E54559" w:rsidRPr="00E54559" w:rsidRDefault="00E54559" w:rsidP="00B658FF">
            <w:pPr>
              <w:pStyle w:val="MHHSBody"/>
              <w:rPr>
                <w:i/>
                <w:iCs/>
                <w:color w:val="FF0000"/>
              </w:rPr>
            </w:pPr>
            <w:r>
              <w:rPr>
                <w:i/>
                <w:iCs/>
                <w:color w:val="FF0000"/>
              </w:rPr>
              <w:t>Please indicate below, using an (X), the extent to which you believe implementing this change would impact your organisation’s resources.</w:t>
            </w:r>
          </w:p>
          <w:tbl>
            <w:tblPr>
              <w:tblStyle w:val="ElexonBasicTable"/>
              <w:tblW w:w="0" w:type="auto"/>
              <w:tblLook w:val="04A0" w:firstRow="1" w:lastRow="0" w:firstColumn="1" w:lastColumn="0" w:noHBand="0" w:noVBand="1"/>
            </w:tblPr>
            <w:tblGrid>
              <w:gridCol w:w="3436"/>
              <w:gridCol w:w="3437"/>
              <w:gridCol w:w="3437"/>
            </w:tblGrid>
            <w:tr w:rsidR="00775BC8" w:rsidRPr="00775BC8" w14:paraId="6E0425B2"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34EB659B" w14:textId="77777777" w:rsidR="00775BC8" w:rsidRPr="00775BC8" w:rsidRDefault="00775BC8" w:rsidP="00775BC8">
                  <w:pPr>
                    <w:pStyle w:val="MHHSBody"/>
                    <w:numPr>
                      <w:ilvl w:val="0"/>
                      <w:numId w:val="35"/>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45A5C945" w14:textId="77777777" w:rsidR="00775BC8" w:rsidRPr="00775BC8" w:rsidRDefault="00775BC8" w:rsidP="00775BC8">
                  <w:pPr>
                    <w:pStyle w:val="MHHSBody"/>
                    <w:numPr>
                      <w:ilvl w:val="0"/>
                      <w:numId w:val="35"/>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04272D5E" w14:textId="77777777" w:rsidR="00775BC8" w:rsidRPr="00775BC8" w:rsidRDefault="00775BC8" w:rsidP="00775BC8">
                  <w:pPr>
                    <w:pStyle w:val="MHHSBody"/>
                    <w:numPr>
                      <w:ilvl w:val="0"/>
                      <w:numId w:val="35"/>
                    </w:numPr>
                    <w:rPr>
                      <w:i/>
                      <w:iCs/>
                      <w:color w:val="FFFFFF" w:themeColor="background1"/>
                    </w:rPr>
                  </w:pPr>
                  <w:r w:rsidRPr="00775BC8">
                    <w:rPr>
                      <w:i/>
                      <w:iCs/>
                      <w:color w:val="FFFFFF" w:themeColor="background1"/>
                    </w:rPr>
                    <w:t>Significant impact</w:t>
                  </w:r>
                </w:p>
              </w:tc>
            </w:tr>
            <w:tr w:rsidR="00775BC8" w14:paraId="3DABDB58" w14:textId="77777777" w:rsidTr="006A7F17">
              <w:tc>
                <w:tcPr>
                  <w:tcW w:w="3436" w:type="dxa"/>
                  <w:tcBorders>
                    <w:right w:val="single" w:sz="4" w:space="0" w:color="auto"/>
                  </w:tcBorders>
                </w:tcPr>
                <w:p w14:paraId="3027007F"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634AD217" w14:textId="77777777" w:rsidR="00775BC8" w:rsidRDefault="00775BC8" w:rsidP="00775BC8">
                  <w:pPr>
                    <w:pStyle w:val="MHHSBody"/>
                    <w:jc w:val="center"/>
                    <w:rPr>
                      <w:i/>
                      <w:iCs/>
                      <w:color w:val="FF0000"/>
                    </w:rPr>
                  </w:pPr>
                </w:p>
              </w:tc>
              <w:tc>
                <w:tcPr>
                  <w:tcW w:w="3437" w:type="dxa"/>
                  <w:tcBorders>
                    <w:left w:val="single" w:sz="4" w:space="0" w:color="auto"/>
                  </w:tcBorders>
                </w:tcPr>
                <w:p w14:paraId="486AA0E9" w14:textId="77777777" w:rsidR="00775BC8" w:rsidRDefault="00775BC8" w:rsidP="00775BC8">
                  <w:pPr>
                    <w:pStyle w:val="MHHSBody"/>
                    <w:jc w:val="center"/>
                    <w:rPr>
                      <w:i/>
                      <w:iCs/>
                      <w:color w:val="FF0000"/>
                    </w:rPr>
                  </w:pPr>
                </w:p>
              </w:tc>
            </w:tr>
          </w:tbl>
          <w:p w14:paraId="2452D1FE" w14:textId="77777777" w:rsidR="00E54559" w:rsidRDefault="00E54559" w:rsidP="00B658FF">
            <w:pPr>
              <w:pStyle w:val="MHHSBody"/>
              <w:rPr>
                <w:rFonts w:cstheme="minorHAnsi"/>
                <w:i/>
                <w:iCs/>
                <w:color w:val="FF0000"/>
                <w:szCs w:val="20"/>
              </w:rPr>
            </w:pPr>
          </w:p>
          <w:p w14:paraId="18B5D063" w14:textId="084E96D2" w:rsidR="00E54559" w:rsidRPr="005B7D3A" w:rsidRDefault="00E54559" w:rsidP="00B658FF">
            <w:pPr>
              <w:pStyle w:val="MHHSBody"/>
              <w:rPr>
                <w:rFonts w:cstheme="minorHAnsi"/>
                <w:i/>
                <w:iCs/>
                <w:color w:val="5161FC" w:themeColor="accent1"/>
                <w:szCs w:val="20"/>
              </w:rPr>
            </w:pP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2ABEB5AD" w14:textId="77777777" w:rsidR="00352693" w:rsidRPr="00FB7EE4" w:rsidRDefault="00352693" w:rsidP="00352693">
            <w:pPr>
              <w:pStyle w:val="MHHSBody"/>
              <w:rPr>
                <w:rFonts w:cstheme="minorHAnsi"/>
                <w:i/>
                <w:iCs/>
                <w:color w:val="041425" w:themeColor="text1"/>
                <w:szCs w:val="20"/>
              </w:rPr>
            </w:pPr>
            <w:r w:rsidRPr="00FB7EE4">
              <w:rPr>
                <w:rFonts w:cstheme="minorHAnsi"/>
                <w:i/>
                <w:iCs/>
                <w:color w:val="041425" w:themeColor="text1"/>
                <w:szCs w:val="20"/>
              </w:rPr>
              <w:t>Differs per LDSO but likely to have impacts on existing arrangements for multiple parties.</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121A38CA" w14:textId="77777777" w:rsidR="002E3B9C" w:rsidRDefault="00EF2AAE" w:rsidP="00EF2AAE">
            <w:pPr>
              <w:pStyle w:val="MHHSBody"/>
              <w:rPr>
                <w:rFonts w:cstheme="minorHAnsi"/>
                <w:i/>
                <w:iCs/>
                <w:color w:val="FF0000"/>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p w14:paraId="3B6F1E74" w14:textId="0FD97F13" w:rsidR="00E54559" w:rsidRPr="00E54559" w:rsidRDefault="00E54559" w:rsidP="00EF2AAE">
            <w:pPr>
              <w:pStyle w:val="MHHSBody"/>
              <w:rPr>
                <w:i/>
                <w:iCs/>
                <w:color w:val="FF0000"/>
              </w:rPr>
            </w:pPr>
            <w:r>
              <w:rPr>
                <w:i/>
                <w:iCs/>
                <w:color w:val="FF0000"/>
              </w:rPr>
              <w:t>Please indicate below, using an (X), the extent to which you believe implementing this change would impact your organisation’s contracts.</w:t>
            </w:r>
          </w:p>
          <w:tbl>
            <w:tblPr>
              <w:tblStyle w:val="ElexonBasicTable"/>
              <w:tblW w:w="0" w:type="auto"/>
              <w:tblLook w:val="04A0" w:firstRow="1" w:lastRow="0" w:firstColumn="1" w:lastColumn="0" w:noHBand="0" w:noVBand="1"/>
            </w:tblPr>
            <w:tblGrid>
              <w:gridCol w:w="3436"/>
              <w:gridCol w:w="3437"/>
              <w:gridCol w:w="3437"/>
            </w:tblGrid>
            <w:tr w:rsidR="00775BC8" w:rsidRPr="00775BC8" w14:paraId="5BFAFD68"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6600070D" w14:textId="77777777" w:rsidR="00775BC8" w:rsidRPr="00775BC8" w:rsidRDefault="00775BC8" w:rsidP="00775BC8">
                  <w:pPr>
                    <w:pStyle w:val="MHHSBody"/>
                    <w:numPr>
                      <w:ilvl w:val="0"/>
                      <w:numId w:val="36"/>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2A1B7981" w14:textId="77777777" w:rsidR="00775BC8" w:rsidRPr="00775BC8" w:rsidRDefault="00775BC8" w:rsidP="00775BC8">
                  <w:pPr>
                    <w:pStyle w:val="MHHSBody"/>
                    <w:numPr>
                      <w:ilvl w:val="0"/>
                      <w:numId w:val="36"/>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7B112665" w14:textId="77777777" w:rsidR="00775BC8" w:rsidRPr="00775BC8" w:rsidRDefault="00775BC8" w:rsidP="00775BC8">
                  <w:pPr>
                    <w:pStyle w:val="MHHSBody"/>
                    <w:numPr>
                      <w:ilvl w:val="0"/>
                      <w:numId w:val="36"/>
                    </w:numPr>
                    <w:rPr>
                      <w:i/>
                      <w:iCs/>
                      <w:color w:val="FFFFFF" w:themeColor="background1"/>
                    </w:rPr>
                  </w:pPr>
                  <w:r w:rsidRPr="00775BC8">
                    <w:rPr>
                      <w:i/>
                      <w:iCs/>
                      <w:color w:val="FFFFFF" w:themeColor="background1"/>
                    </w:rPr>
                    <w:t>Significant impact</w:t>
                  </w:r>
                </w:p>
              </w:tc>
            </w:tr>
            <w:tr w:rsidR="00775BC8" w14:paraId="092B9B5B" w14:textId="77777777" w:rsidTr="006A7F17">
              <w:tc>
                <w:tcPr>
                  <w:tcW w:w="3436" w:type="dxa"/>
                  <w:tcBorders>
                    <w:right w:val="single" w:sz="4" w:space="0" w:color="auto"/>
                  </w:tcBorders>
                </w:tcPr>
                <w:p w14:paraId="46D85D44"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757ED56A" w14:textId="77777777" w:rsidR="00775BC8" w:rsidRDefault="00775BC8" w:rsidP="00775BC8">
                  <w:pPr>
                    <w:pStyle w:val="MHHSBody"/>
                    <w:jc w:val="center"/>
                    <w:rPr>
                      <w:i/>
                      <w:iCs/>
                      <w:color w:val="FF0000"/>
                    </w:rPr>
                  </w:pPr>
                </w:p>
              </w:tc>
              <w:tc>
                <w:tcPr>
                  <w:tcW w:w="3437" w:type="dxa"/>
                  <w:tcBorders>
                    <w:left w:val="single" w:sz="4" w:space="0" w:color="auto"/>
                  </w:tcBorders>
                </w:tcPr>
                <w:p w14:paraId="1DCE29F0" w14:textId="77777777" w:rsidR="00775BC8" w:rsidRDefault="00775BC8" w:rsidP="00775BC8">
                  <w:pPr>
                    <w:pStyle w:val="MHHSBody"/>
                    <w:jc w:val="center"/>
                    <w:rPr>
                      <w:i/>
                      <w:iCs/>
                      <w:color w:val="FF0000"/>
                    </w:rPr>
                  </w:pPr>
                </w:p>
              </w:tc>
            </w:tr>
          </w:tbl>
          <w:p w14:paraId="338AE4FA" w14:textId="77777777" w:rsidR="00E54559" w:rsidRDefault="00E54559" w:rsidP="00EF2AAE">
            <w:pPr>
              <w:pStyle w:val="MHHSBody"/>
              <w:rPr>
                <w:rFonts w:cstheme="minorHAnsi"/>
                <w:i/>
                <w:iCs/>
                <w:color w:val="FF0000"/>
                <w:szCs w:val="20"/>
              </w:rPr>
            </w:pPr>
          </w:p>
          <w:p w14:paraId="63F5A147" w14:textId="10B6F853" w:rsidR="00E54559" w:rsidRPr="005B7D3A" w:rsidRDefault="00E54559" w:rsidP="00EF2AAE">
            <w:pPr>
              <w:pStyle w:val="MHHSBody"/>
              <w:rPr>
                <w:rFonts w:cstheme="minorHAnsi"/>
                <w:i/>
                <w:iCs/>
                <w:color w:val="5161FC" w:themeColor="accent1"/>
                <w:szCs w:val="20"/>
              </w:rPr>
            </w:pPr>
          </w:p>
        </w:tc>
      </w:tr>
      <w:tr w:rsidR="002E3B9C" w:rsidRPr="005B7D3A" w14:paraId="5FDA6189" w14:textId="77777777" w:rsidTr="004D272C">
        <w:tc>
          <w:tcPr>
            <w:tcW w:w="10536" w:type="dxa"/>
          </w:tcPr>
          <w:p w14:paraId="32EF5D94" w14:textId="3A6EC9E4" w:rsidR="002E3B9C" w:rsidRPr="00FB7EE4" w:rsidRDefault="002E3B9C" w:rsidP="002E3B9C">
            <w:pPr>
              <w:pStyle w:val="MHHSBody"/>
              <w:rPr>
                <w:b/>
                <w:bCs/>
                <w:color w:val="041425" w:themeColor="text1"/>
                <w:u w:val="single"/>
              </w:rPr>
            </w:pPr>
            <w:r w:rsidRPr="00FB7EE4">
              <w:rPr>
                <w:b/>
                <w:bCs/>
                <w:color w:val="041425" w:themeColor="text1"/>
                <w:u w:val="single"/>
              </w:rPr>
              <w:t>Risks</w:t>
            </w:r>
          </w:p>
          <w:p w14:paraId="2512DDF9" w14:textId="10B8C830" w:rsidR="002E3B9C" w:rsidRPr="00FB7EE4" w:rsidRDefault="009E76EE" w:rsidP="009E76EE">
            <w:pPr>
              <w:rPr>
                <w:rFonts w:cstheme="minorHAnsi"/>
                <w:i/>
                <w:iCs/>
                <w:color w:val="041425" w:themeColor="text1"/>
                <w:szCs w:val="20"/>
              </w:rPr>
            </w:pPr>
            <w:r w:rsidRPr="00FB7EE4">
              <w:rPr>
                <w:rFonts w:cstheme="minorHAnsi"/>
                <w:i/>
                <w:iCs/>
                <w:color w:val="041425" w:themeColor="text1"/>
                <w:szCs w:val="20"/>
              </w:rPr>
              <w:t>Low risk CR. LDSOs believe this poses little risk or impact the programme, the design, other parties or M10, as it simply seeks to set fit for purpose NFRs for LDSOs and their 3 market roles of Registration Services, UMSO &amp; LDSO (formerly referred to as Network Ops).</w:t>
            </w: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5440BE5B" w14:textId="77777777" w:rsidR="00FC7AAB" w:rsidRDefault="00FC7AAB" w:rsidP="00FC7AAB">
            <w:pPr>
              <w:pStyle w:val="MHHSBody"/>
              <w:rPr>
                <w:rFonts w:cstheme="minorHAnsi"/>
                <w:i/>
                <w:iCs/>
                <w:color w:val="FF0000"/>
                <w:szCs w:val="20"/>
              </w:rPr>
            </w:pPr>
            <w:r w:rsidRPr="00A441CE">
              <w:rPr>
                <w:rFonts w:cstheme="minorHAnsi"/>
                <w:i/>
                <w:iCs/>
                <w:color w:val="FF0000"/>
                <w:szCs w:val="20"/>
              </w:rPr>
              <w:lastRenderedPageBreak/>
              <w:t>Where possible, contextual information should be included e.g. the change will affect the likelihood of a risk occurring, the change will affect the impact the risk would have, the change will require additional controls and mitigation.</w:t>
            </w:r>
          </w:p>
          <w:p w14:paraId="3CEB261E" w14:textId="3461CD2F" w:rsidR="00775BC8" w:rsidRPr="00477191" w:rsidRDefault="00477191" w:rsidP="00775BC8">
            <w:pPr>
              <w:pStyle w:val="MHHSBody"/>
              <w:rPr>
                <w:i/>
                <w:iCs/>
                <w:color w:val="FF0000"/>
              </w:rPr>
            </w:pPr>
            <w:r>
              <w:rPr>
                <w:i/>
                <w:iCs/>
                <w:color w:val="FF0000"/>
              </w:rPr>
              <w:t xml:space="preserve">Please state any additional risks introduced by the change. </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2"/>
        </w:tblBorders>
        <w:tblLook w:val="04A0" w:firstRow="1" w:lastRow="0" w:firstColumn="1" w:lastColumn="0" w:noHBand="0" w:noVBand="1"/>
      </w:tblPr>
      <w:tblGrid>
        <w:gridCol w:w="10536"/>
      </w:tblGrid>
      <w:tr w:rsidR="00A43600" w:rsidRPr="005B7D3A" w14:paraId="4E405AB0" w14:textId="77777777" w:rsidTr="5127FCF1">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2"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5127FCF1">
        <w:trPr>
          <w:trHeight w:val="1158"/>
        </w:trPr>
        <w:tc>
          <w:tcPr>
            <w:tcW w:w="10536" w:type="dxa"/>
            <w:shd w:val="clear" w:color="auto" w:fill="FFFFFF" w:themeFill="background2"/>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4AB6A96A" w14:textId="77777777" w:rsidR="009067B2" w:rsidRPr="00FB7EE4" w:rsidRDefault="009067B2" w:rsidP="009067B2">
            <w:pPr>
              <w:pStyle w:val="MHHSBody"/>
              <w:rPr>
                <w:rFonts w:cstheme="minorHAnsi"/>
                <w:i/>
                <w:iCs/>
                <w:color w:val="041425" w:themeColor="text1"/>
                <w:szCs w:val="20"/>
              </w:rPr>
            </w:pPr>
            <w:r w:rsidRPr="00FB7EE4">
              <w:rPr>
                <w:rFonts w:cstheme="minorHAnsi"/>
                <w:i/>
                <w:iCs/>
                <w:color w:val="041425" w:themeColor="text1"/>
                <w:szCs w:val="20"/>
              </w:rPr>
              <w:t xml:space="preserve">LDSOs recommend this CR is approved and implemented ahead of M10 and specifically before the completion of Non-Functional PIT testing (currently 30 September 2024). </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shd w:val="clear" w:color="auto" w:fill="E6E6E6"/>
              </w:rPr>
              <w:fldChar w:fldCharType="begin">
                <w:ffData>
                  <w:name w:val="Text17"/>
                  <w:enabled/>
                  <w:calcOnExit w:val="0"/>
                  <w:textInput/>
                </w:ffData>
              </w:fldChar>
            </w:r>
            <w:bookmarkStart w:id="11" w:name="Text17"/>
            <w:r w:rsidRPr="005B7D3A">
              <w:rPr>
                <w:b/>
                <w:bCs/>
                <w:color w:val="041425" w:themeColor="text1"/>
              </w:rPr>
              <w:instrText xml:space="preserve"> FORMTEXT </w:instrText>
            </w:r>
            <w:r w:rsidRPr="005B7D3A">
              <w:rPr>
                <w:b/>
                <w:bCs/>
                <w:color w:val="041425" w:themeColor="text1"/>
                <w:shd w:val="clear" w:color="auto" w:fill="E6E6E6"/>
              </w:rPr>
            </w:r>
            <w:r w:rsidRPr="005B7D3A">
              <w:rPr>
                <w:b/>
                <w:bCs/>
                <w:color w:val="041425" w:themeColor="text1"/>
                <w:shd w:val="clear" w:color="auto" w:fill="E6E6E6"/>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shd w:val="clear" w:color="auto" w:fill="E6E6E6"/>
              </w:rPr>
              <w:fldChar w:fldCharType="end"/>
            </w:r>
            <w:bookmarkEnd w:id="11"/>
          </w:p>
        </w:tc>
      </w:tr>
      <w:tr w:rsidR="00A43600" w:rsidRPr="005B7D3A" w14:paraId="584E09C6" w14:textId="77777777" w:rsidTr="5127FCF1">
        <w:tc>
          <w:tcPr>
            <w:tcW w:w="10536" w:type="dxa"/>
            <w:shd w:val="clear" w:color="auto" w:fill="F2F2F2" w:themeFill="background2"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5127FCF1">
        <w:tc>
          <w:tcPr>
            <w:tcW w:w="10536" w:type="dxa"/>
          </w:tcPr>
          <w:p w14:paraId="2FE70035" w14:textId="77777777" w:rsidR="004B4B3C" w:rsidRDefault="004B4B3C" w:rsidP="00DB454A">
            <w:pPr>
              <w:pStyle w:val="MHHSBody"/>
              <w:rPr>
                <w:rFonts w:cstheme="minorHAnsi"/>
                <w:i/>
                <w:iCs/>
                <w:color w:val="FF0000"/>
                <w:szCs w:val="20"/>
              </w:rPr>
            </w:pPr>
          </w:p>
          <w:p w14:paraId="385A1D41" w14:textId="021DEF85" w:rsidR="00A43600" w:rsidRDefault="00DB454A" w:rsidP="5127FCF1">
            <w:pPr>
              <w:pStyle w:val="MHHSBody"/>
              <w:rPr>
                <w:i/>
                <w:iCs/>
                <w:color w:val="FF0000"/>
                <w:lang w:val="en-US"/>
              </w:rPr>
            </w:pPr>
            <w:r w:rsidRPr="5127FCF1">
              <w:rPr>
                <w:i/>
                <w:iCs/>
                <w:color w:val="FF0000"/>
              </w:rPr>
              <w:t xml:space="preserve">Impact Assessment respondents to </w:t>
            </w:r>
            <w:r w:rsidRPr="5127FCF1">
              <w:rPr>
                <w:i/>
                <w:iCs/>
                <w:color w:val="FF0000"/>
                <w:lang w:val="en-US"/>
              </w:rPr>
              <w:t>add supporting commentary to support their selection</w:t>
            </w:r>
            <w:r w:rsidR="22A711B1" w:rsidRPr="5127FCF1">
              <w:rPr>
                <w:i/>
                <w:iCs/>
                <w:color w:val="FF0000"/>
                <w:lang w:val="en-US"/>
              </w:rPr>
              <w:t>.</w:t>
            </w:r>
          </w:p>
          <w:p w14:paraId="5CC92562" w14:textId="52D72240" w:rsidR="00202175" w:rsidRDefault="00202175" w:rsidP="5127FCF1">
            <w:pPr>
              <w:pStyle w:val="MHHSBody"/>
              <w:rPr>
                <w:i/>
                <w:iCs/>
                <w:color w:val="FF0000"/>
              </w:rPr>
            </w:pPr>
            <w:r>
              <w:rPr>
                <w:i/>
                <w:iCs/>
                <w:color w:val="FF0000"/>
              </w:rPr>
              <w:t xml:space="preserve">Please indicate below, using an (X), the extent to which you believe implementing this change would impact </w:t>
            </w:r>
            <w:r w:rsidR="00A30868">
              <w:rPr>
                <w:i/>
                <w:iCs/>
                <w:color w:val="FF0000"/>
              </w:rPr>
              <w:t>the Programme and/or your organisation overall</w:t>
            </w:r>
            <w:r>
              <w:rPr>
                <w:i/>
                <w:iCs/>
                <w:color w:val="FF0000"/>
              </w:rPr>
              <w:t>.</w:t>
            </w:r>
          </w:p>
          <w:tbl>
            <w:tblPr>
              <w:tblStyle w:val="ElexonBasicTable"/>
              <w:tblW w:w="0" w:type="auto"/>
              <w:tblLook w:val="04A0" w:firstRow="1" w:lastRow="0" w:firstColumn="1" w:lastColumn="0" w:noHBand="0" w:noVBand="1"/>
            </w:tblPr>
            <w:tblGrid>
              <w:gridCol w:w="3436"/>
              <w:gridCol w:w="3437"/>
              <w:gridCol w:w="3437"/>
            </w:tblGrid>
            <w:tr w:rsidR="00775BC8" w:rsidRPr="00775BC8" w14:paraId="22741E4A"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0C081352" w14:textId="77777777" w:rsidR="00775BC8" w:rsidRPr="00775BC8" w:rsidRDefault="00775BC8" w:rsidP="00775BC8">
                  <w:pPr>
                    <w:pStyle w:val="MHHSBody"/>
                    <w:numPr>
                      <w:ilvl w:val="0"/>
                      <w:numId w:val="38"/>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2CD9F354" w14:textId="77777777" w:rsidR="00775BC8" w:rsidRPr="00775BC8" w:rsidRDefault="00775BC8" w:rsidP="00775BC8">
                  <w:pPr>
                    <w:pStyle w:val="MHHSBody"/>
                    <w:numPr>
                      <w:ilvl w:val="0"/>
                      <w:numId w:val="38"/>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40589C61" w14:textId="77777777" w:rsidR="00775BC8" w:rsidRPr="00775BC8" w:rsidRDefault="00775BC8" w:rsidP="00775BC8">
                  <w:pPr>
                    <w:pStyle w:val="MHHSBody"/>
                    <w:numPr>
                      <w:ilvl w:val="0"/>
                      <w:numId w:val="38"/>
                    </w:numPr>
                    <w:rPr>
                      <w:i/>
                      <w:iCs/>
                      <w:color w:val="FFFFFF" w:themeColor="background1"/>
                    </w:rPr>
                  </w:pPr>
                  <w:r w:rsidRPr="00775BC8">
                    <w:rPr>
                      <w:i/>
                      <w:iCs/>
                      <w:color w:val="FFFFFF" w:themeColor="background1"/>
                    </w:rPr>
                    <w:t>Significant impact</w:t>
                  </w:r>
                </w:p>
              </w:tc>
            </w:tr>
            <w:tr w:rsidR="00775BC8" w14:paraId="013071F0" w14:textId="77777777" w:rsidTr="006A7F17">
              <w:tc>
                <w:tcPr>
                  <w:tcW w:w="3436" w:type="dxa"/>
                  <w:tcBorders>
                    <w:right w:val="single" w:sz="4" w:space="0" w:color="auto"/>
                  </w:tcBorders>
                </w:tcPr>
                <w:p w14:paraId="5BBAC9AF"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27D81F62" w14:textId="77777777" w:rsidR="00775BC8" w:rsidRDefault="00775BC8" w:rsidP="00775BC8">
                  <w:pPr>
                    <w:pStyle w:val="MHHSBody"/>
                    <w:jc w:val="center"/>
                    <w:rPr>
                      <w:i/>
                      <w:iCs/>
                      <w:color w:val="FF0000"/>
                    </w:rPr>
                  </w:pPr>
                </w:p>
              </w:tc>
              <w:tc>
                <w:tcPr>
                  <w:tcW w:w="3437" w:type="dxa"/>
                  <w:tcBorders>
                    <w:left w:val="single" w:sz="4" w:space="0" w:color="auto"/>
                  </w:tcBorders>
                </w:tcPr>
                <w:p w14:paraId="2938C027" w14:textId="77777777" w:rsidR="00775BC8" w:rsidRDefault="00775BC8" w:rsidP="00775BC8">
                  <w:pPr>
                    <w:pStyle w:val="MHHSBody"/>
                    <w:jc w:val="center"/>
                    <w:rPr>
                      <w:i/>
                      <w:iCs/>
                      <w:color w:val="FF0000"/>
                    </w:rPr>
                  </w:pPr>
                </w:p>
              </w:tc>
            </w:tr>
          </w:tbl>
          <w:p w14:paraId="1A453227" w14:textId="785471C2" w:rsidR="00A43600" w:rsidRPr="005B7D3A" w:rsidRDefault="00A43600" w:rsidP="5127FCF1">
            <w:pPr>
              <w:pStyle w:val="MHHSBody"/>
              <w:rPr>
                <w:i/>
                <w:iCs/>
                <w:color w:val="041425" w:themeColor="text1"/>
                <w:lang w:val="en-US"/>
              </w:rPr>
            </w:pPr>
          </w:p>
        </w:tc>
      </w:tr>
      <w:tr w:rsidR="5127FCF1" w14:paraId="45E93256" w14:textId="77777777" w:rsidTr="5127FCF1">
        <w:trPr>
          <w:trHeight w:val="300"/>
        </w:trPr>
        <w:tc>
          <w:tcPr>
            <w:tcW w:w="10536" w:type="dxa"/>
          </w:tcPr>
          <w:p w14:paraId="445D725F" w14:textId="2161D126" w:rsidR="22A711B1" w:rsidRDefault="22A711B1" w:rsidP="5127FCF1">
            <w:pPr>
              <w:pStyle w:val="MHHSBody"/>
            </w:pPr>
            <w:r w:rsidRPr="5127FCF1">
              <w:rPr>
                <w:b/>
                <w:bCs/>
                <w:color w:val="041425" w:themeColor="text2"/>
                <w:u w:val="single"/>
              </w:rPr>
              <w:t>Change Freeze</w:t>
            </w:r>
          </w:p>
          <w:p w14:paraId="77709DA0" w14:textId="77777777" w:rsidR="001240A6" w:rsidRPr="00FB7EE4" w:rsidRDefault="001240A6" w:rsidP="001240A6">
            <w:pPr>
              <w:pStyle w:val="MHHSBody"/>
              <w:rPr>
                <w:rFonts w:cstheme="minorHAnsi"/>
                <w:i/>
                <w:iCs/>
                <w:color w:val="041425" w:themeColor="text1"/>
                <w:szCs w:val="20"/>
              </w:rPr>
            </w:pPr>
            <w:r w:rsidRPr="00FB7EE4">
              <w:rPr>
                <w:i/>
                <w:iCs/>
                <w:color w:val="041425" w:themeColor="text1"/>
              </w:rPr>
              <w:t xml:space="preserve">LDSOs believe this CR should not impact the programme, the design, other parties or M10, as it simply seeks to set fit for purpose NFRs for our 3 market roles of Registration Services, UMSO &amp; </w:t>
            </w:r>
            <w:r w:rsidRPr="00FB7EE4">
              <w:rPr>
                <w:rFonts w:cstheme="minorHAnsi"/>
                <w:i/>
                <w:iCs/>
                <w:color w:val="041425" w:themeColor="text1"/>
                <w:szCs w:val="20"/>
              </w:rPr>
              <w:t>LDSO (formerly referred to as Network Ops).</w:t>
            </w:r>
          </w:p>
          <w:p w14:paraId="4F6669E1" w14:textId="7BD025DF" w:rsidR="22A711B1" w:rsidRDefault="001240A6" w:rsidP="001240A6">
            <w:pPr>
              <w:pStyle w:val="MHHSBody"/>
              <w:rPr>
                <w:b/>
                <w:bCs/>
                <w:color w:val="041425" w:themeColor="text2"/>
                <w:u w:val="single"/>
              </w:rPr>
            </w:pPr>
            <w:r w:rsidRPr="00FB7EE4">
              <w:rPr>
                <w:i/>
                <w:iCs/>
                <w:color w:val="041425" w:themeColor="text1"/>
              </w:rPr>
              <w:t>It is not a design change or something that materially impacts SIT. This is arguably an ‘admin’ CR and requires limited rework by other programme participants.</w:t>
            </w:r>
          </w:p>
        </w:tc>
      </w:tr>
      <w:tr w:rsidR="5127FCF1" w14:paraId="4F516A16" w14:textId="77777777" w:rsidTr="5127FCF1">
        <w:trPr>
          <w:trHeight w:val="300"/>
        </w:trPr>
        <w:tc>
          <w:tcPr>
            <w:tcW w:w="10536" w:type="dxa"/>
            <w:shd w:val="clear" w:color="auto" w:fill="F2F2F2" w:themeFill="background2" w:themeFillShade="F2"/>
          </w:tcPr>
          <w:p w14:paraId="6131DC19" w14:textId="76825715" w:rsidR="22A711B1" w:rsidRDefault="22A711B1" w:rsidP="5127FCF1">
            <w:pPr>
              <w:pStyle w:val="MHHSBody"/>
              <w:rPr>
                <w:i/>
                <w:iCs/>
                <w:color w:val="5161FC" w:themeColor="accent1"/>
              </w:rPr>
            </w:pPr>
            <w:r w:rsidRPr="5127FCF1">
              <w:rPr>
                <w:i/>
                <w:iCs/>
                <w:color w:val="041425" w:themeColor="text2"/>
              </w:rPr>
              <w:t>&lt;Delete as appropriate&gt;:</w:t>
            </w:r>
            <w:r w:rsidRPr="5127FCF1">
              <w:rPr>
                <w:b/>
                <w:bCs/>
                <w:color w:val="041425" w:themeColor="text2"/>
              </w:rPr>
              <w:t xml:space="preserve"> Agree     Disagree     Abstain</w:t>
            </w:r>
          </w:p>
        </w:tc>
      </w:tr>
      <w:tr w:rsidR="5127FCF1" w14:paraId="1CADE559" w14:textId="77777777" w:rsidTr="5127FCF1">
        <w:trPr>
          <w:trHeight w:val="300"/>
        </w:trPr>
        <w:tc>
          <w:tcPr>
            <w:tcW w:w="10536" w:type="dxa"/>
          </w:tcPr>
          <w:p w14:paraId="2B275C87" w14:textId="4C54BC71" w:rsidR="5127FCF1" w:rsidRDefault="5127FCF1" w:rsidP="5127FCF1">
            <w:pPr>
              <w:pStyle w:val="MHHSBody"/>
              <w:rPr>
                <w:i/>
                <w:iCs/>
                <w:color w:val="FF0000"/>
              </w:rPr>
            </w:pPr>
          </w:p>
          <w:p w14:paraId="34A1BE2F" w14:textId="69A82E78" w:rsidR="5127FCF1" w:rsidRPr="00AB2B3E" w:rsidRDefault="7A9FF319" w:rsidP="5127FCF1">
            <w:pPr>
              <w:pStyle w:val="MHHSBody"/>
              <w:rPr>
                <w:i/>
                <w:iCs/>
                <w:color w:val="FF0000"/>
                <w:lang w:val="en-US"/>
              </w:rPr>
            </w:pPr>
            <w:r w:rsidRPr="5127FCF1">
              <w:rPr>
                <w:i/>
                <w:iCs/>
                <w:color w:val="FF0000"/>
              </w:rPr>
              <w:t xml:space="preserve">Impact Assessment respondents to </w:t>
            </w:r>
            <w:r w:rsidRPr="5127FCF1">
              <w:rPr>
                <w:i/>
                <w:iCs/>
                <w:color w:val="FF0000"/>
                <w:lang w:val="en-US"/>
              </w:rPr>
              <w:t xml:space="preserve">add supporting commentary to support their selection. </w:t>
            </w: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2C4E731F" w14:textId="77777777" w:rsidR="00E7057C" w:rsidRDefault="00E7057C" w:rsidP="005A4D7B">
            <w:pPr>
              <w:pStyle w:val="MHHSBody"/>
              <w:rPr>
                <w:b/>
                <w:bCs/>
              </w:rPr>
            </w:pPr>
            <w:r>
              <w:rPr>
                <w:b/>
                <w:bCs/>
                <w:color w:val="5161FC" w:themeColor="accent1"/>
                <w:shd w:val="clear" w:color="auto" w:fill="E6E6E6"/>
              </w:rPr>
              <w:fldChar w:fldCharType="begin">
                <w:ffData>
                  <w:name w:val="Text18"/>
                  <w:enabled/>
                  <w:calcOnExit w:val="0"/>
                  <w:textInput/>
                </w:ffData>
              </w:fldChar>
            </w:r>
            <w:bookmarkStart w:id="12" w:name="Text18"/>
            <w:r>
              <w:rPr>
                <w:b/>
                <w:bCs/>
                <w:color w:val="5161FC" w:themeColor="accent1"/>
              </w:rPr>
              <w:instrText xml:space="preserve"> FORMTEXT </w:instrText>
            </w:r>
            <w:r>
              <w:rPr>
                <w:b/>
                <w:bCs/>
                <w:color w:val="5161FC" w:themeColor="accent1"/>
                <w:shd w:val="clear" w:color="auto" w:fill="E6E6E6"/>
              </w:rPr>
            </w:r>
            <w:r>
              <w:rPr>
                <w:b/>
                <w:bCs/>
                <w:color w:val="5161FC" w:themeColor="accent1"/>
                <w:shd w:val="clear" w:color="auto" w:fill="E6E6E6"/>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shd w:val="clear" w:color="auto" w:fill="E6E6E6"/>
              </w:rPr>
              <w:fldChar w:fldCharType="end"/>
            </w:r>
            <w:bookmarkEnd w:id="12"/>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rPr>
                <w:color w:val="2B579A"/>
                <w:shd w:val="clear" w:color="auto" w:fill="E6E6E6"/>
              </w:rPr>
              <w:fldChar w:fldCharType="begin">
                <w:ffData>
                  <w:name w:val="Text19"/>
                  <w:enabled/>
                  <w:calcOnExit w:val="0"/>
                  <w:textInput/>
                </w:ffData>
              </w:fldChar>
            </w:r>
            <w:bookmarkStart w:id="13" w:name="Text1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3"/>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rPr>
                <w:color w:val="2B579A"/>
                <w:shd w:val="clear" w:color="auto" w:fill="E6E6E6"/>
              </w:rPr>
              <w:fldChar w:fldCharType="begin">
                <w:ffData>
                  <w:name w:val="Text21"/>
                  <w:enabled/>
                  <w:calcOnExit w:val="0"/>
                  <w:textInput/>
                </w:ffData>
              </w:fldChar>
            </w:r>
            <w:bookmarkStart w:id="14" w:name="Text2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4"/>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rPr>
                <w:color w:val="2B579A"/>
                <w:shd w:val="clear" w:color="auto" w:fill="E6E6E6"/>
              </w:rPr>
              <w:fldChar w:fldCharType="begin">
                <w:ffData>
                  <w:name w:val="Text20"/>
                  <w:enabled/>
                  <w:calcOnExit w:val="0"/>
                  <w:textInput/>
                </w:ffData>
              </w:fldChar>
            </w:r>
            <w:bookmarkStart w:id="15" w:name="Text2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5"/>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rPr>
                <w:color w:val="2B579A"/>
                <w:shd w:val="clear" w:color="auto" w:fill="E6E6E6"/>
              </w:rPr>
              <w:fldChar w:fldCharType="begin">
                <w:ffData>
                  <w:name w:val="Text22"/>
                  <w:enabled/>
                  <w:calcOnExit w:val="0"/>
                  <w:textInput/>
                </w:ffData>
              </w:fldChar>
            </w:r>
            <w:bookmarkStart w:id="16" w:name="Text2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6"/>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rPr>
                <w:color w:val="2B579A"/>
                <w:shd w:val="clear" w:color="auto" w:fill="E6E6E6"/>
              </w:rPr>
              <w:fldChar w:fldCharType="begin">
                <w:ffData>
                  <w:name w:val="Text23"/>
                  <w:enabled/>
                  <w:calcOnExit w:val="0"/>
                  <w:textInput/>
                </w:ffData>
              </w:fldChar>
            </w:r>
            <w:bookmarkStart w:id="17" w:name="Text2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7"/>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color w:val="2B579A"/>
                <w:shd w:val="clear" w:color="auto" w:fill="E6E6E6"/>
              </w:rPr>
              <w:fldChar w:fldCharType="begin">
                <w:ffData>
                  <w:name w:val="Text24"/>
                  <w:enabled/>
                  <w:calcOnExit w:val="0"/>
                  <w:textInput/>
                </w:ffData>
              </w:fldChar>
            </w:r>
            <w:bookmarkStart w:id="18" w:name="Text2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8"/>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color w:val="2B579A"/>
                <w:shd w:val="clear" w:color="auto" w:fill="E6E6E6"/>
              </w:rPr>
              <w:fldChar w:fldCharType="begin">
                <w:ffData>
                  <w:name w:val="Text28"/>
                  <w:enabled/>
                  <w:calcOnExit w:val="0"/>
                  <w:textInput/>
                </w:ffData>
              </w:fldChar>
            </w:r>
            <w:bookmarkStart w:id="19" w:name="Text28"/>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9"/>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color w:val="2B579A"/>
                <w:shd w:val="clear" w:color="auto" w:fill="E6E6E6"/>
              </w:rPr>
              <w:fldChar w:fldCharType="begin">
                <w:ffData>
                  <w:name w:val="Text32"/>
                  <w:enabled/>
                  <w:calcOnExit w:val="0"/>
                  <w:textInput/>
                </w:ffData>
              </w:fldChar>
            </w:r>
            <w:bookmarkStart w:id="20" w:name="Text32"/>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0"/>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color w:val="2B579A"/>
                <w:shd w:val="clear" w:color="auto" w:fill="E6E6E6"/>
              </w:rPr>
              <w:fldChar w:fldCharType="begin">
                <w:ffData>
                  <w:name w:val="Text25"/>
                  <w:enabled/>
                  <w:calcOnExit w:val="0"/>
                  <w:textInput/>
                </w:ffData>
              </w:fldChar>
            </w:r>
            <w:bookmarkStart w:id="21" w:name="Text2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1"/>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color w:val="2B579A"/>
                <w:shd w:val="clear" w:color="auto" w:fill="E6E6E6"/>
              </w:rPr>
              <w:fldChar w:fldCharType="begin">
                <w:ffData>
                  <w:name w:val="Text29"/>
                  <w:enabled/>
                  <w:calcOnExit w:val="0"/>
                  <w:textInput/>
                </w:ffData>
              </w:fldChar>
            </w:r>
            <w:bookmarkStart w:id="22" w:name="Text29"/>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2"/>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color w:val="2B579A"/>
                <w:shd w:val="clear" w:color="auto" w:fill="E6E6E6"/>
              </w:rPr>
              <w:fldChar w:fldCharType="begin">
                <w:ffData>
                  <w:name w:val="Text33"/>
                  <w:enabled/>
                  <w:calcOnExit w:val="0"/>
                  <w:textInput/>
                </w:ffData>
              </w:fldChar>
            </w:r>
            <w:bookmarkStart w:id="23" w:name="Text33"/>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3"/>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color w:val="2B579A"/>
                <w:shd w:val="clear" w:color="auto" w:fill="E6E6E6"/>
              </w:rPr>
              <w:fldChar w:fldCharType="begin">
                <w:ffData>
                  <w:name w:val="Text26"/>
                  <w:enabled/>
                  <w:calcOnExit w:val="0"/>
                  <w:textInput/>
                </w:ffData>
              </w:fldChar>
            </w:r>
            <w:bookmarkStart w:id="24" w:name="Text26"/>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4"/>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color w:val="2B579A"/>
                <w:shd w:val="clear" w:color="auto" w:fill="E6E6E6"/>
              </w:rPr>
              <w:fldChar w:fldCharType="begin">
                <w:ffData>
                  <w:name w:val="Text30"/>
                  <w:enabled/>
                  <w:calcOnExit w:val="0"/>
                  <w:textInput/>
                </w:ffData>
              </w:fldChar>
            </w:r>
            <w:bookmarkStart w:id="25" w:name="Text30"/>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5"/>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color w:val="2B579A"/>
                <w:shd w:val="clear" w:color="auto" w:fill="E6E6E6"/>
              </w:rPr>
              <w:fldChar w:fldCharType="begin">
                <w:ffData>
                  <w:name w:val="Text34"/>
                  <w:enabled/>
                  <w:calcOnExit w:val="0"/>
                  <w:textInput/>
                </w:ffData>
              </w:fldChar>
            </w:r>
            <w:bookmarkStart w:id="26" w:name="Text3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6"/>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color w:val="2B579A"/>
                <w:shd w:val="clear" w:color="auto" w:fill="E6E6E6"/>
              </w:rPr>
              <w:fldChar w:fldCharType="begin">
                <w:ffData>
                  <w:name w:val="Text27"/>
                  <w:enabled/>
                  <w:calcOnExit w:val="0"/>
                  <w:textInput/>
                </w:ffData>
              </w:fldChar>
            </w:r>
            <w:bookmarkStart w:id="27" w:name="Text27"/>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7"/>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color w:val="2B579A"/>
                <w:shd w:val="clear" w:color="auto" w:fill="E6E6E6"/>
              </w:rPr>
              <w:fldChar w:fldCharType="begin">
                <w:ffData>
                  <w:name w:val="Text31"/>
                  <w:enabled/>
                  <w:calcOnExit w:val="0"/>
                  <w:textInput/>
                </w:ffData>
              </w:fldChar>
            </w:r>
            <w:bookmarkStart w:id="28" w:name="Text31"/>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8"/>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color w:val="2B579A"/>
                <w:shd w:val="clear" w:color="auto" w:fill="E6E6E6"/>
              </w:rPr>
              <w:fldChar w:fldCharType="begin">
                <w:ffData>
                  <w:name w:val="Text35"/>
                  <w:enabled/>
                  <w:calcOnExit w:val="0"/>
                  <w:textInput/>
                </w:ffData>
              </w:fldChar>
            </w:r>
            <w:bookmarkStart w:id="29" w:name="Text3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9"/>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rPr>
                <w:color w:val="2B579A"/>
                <w:shd w:val="clear" w:color="auto" w:fill="E6E6E6"/>
              </w:rPr>
              <w:fldChar w:fldCharType="begin">
                <w:ffData>
                  <w:name w:val="Text36"/>
                  <w:enabled/>
                  <w:calcOnExit w:val="0"/>
                  <w:textInput/>
                </w:ffData>
              </w:fldChar>
            </w:r>
            <w:bookmarkStart w:id="30" w:name="Text3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0"/>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rPr>
                <w:color w:val="2B579A"/>
                <w:shd w:val="clear" w:color="auto" w:fill="E6E6E6"/>
              </w:rPr>
              <w:fldChar w:fldCharType="begin">
                <w:ffData>
                  <w:name w:val="Text37"/>
                  <w:enabled/>
                  <w:calcOnExit w:val="0"/>
                  <w:textInput/>
                </w:ffData>
              </w:fldChar>
            </w:r>
            <w:bookmarkStart w:id="31" w:name="Text3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1"/>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shd w:val="clear" w:color="auto" w:fill="E6E6E6"/>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shd w:val="clear" w:color="auto" w:fill="E6E6E6"/>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rPr>
                <w:color w:val="2B579A"/>
                <w:shd w:val="clear" w:color="auto" w:fill="E6E6E6"/>
              </w:rPr>
              <w:fldChar w:fldCharType="begin">
                <w:ffData>
                  <w:name w:val="Text38"/>
                  <w:enabled/>
                  <w:calcOnExit w:val="0"/>
                  <w:textInput/>
                </w:ffData>
              </w:fldChar>
            </w:r>
            <w:bookmarkStart w:id="32" w:name="Text3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2"/>
          </w:p>
        </w:tc>
        <w:tc>
          <w:tcPr>
            <w:tcW w:w="3512" w:type="dxa"/>
          </w:tcPr>
          <w:p w14:paraId="41AC658D" w14:textId="7A1FA681" w:rsidR="00CA77C4" w:rsidRDefault="00CC0225" w:rsidP="00BB5A03">
            <w:pPr>
              <w:pStyle w:val="MHHSBody"/>
            </w:pPr>
            <w:r>
              <w:rPr>
                <w:color w:val="2B579A"/>
                <w:shd w:val="clear" w:color="auto" w:fill="E6E6E6"/>
              </w:rPr>
              <w:fldChar w:fldCharType="begin">
                <w:ffData>
                  <w:name w:val="Text40"/>
                  <w:enabled/>
                  <w:calcOnExit w:val="0"/>
                  <w:textInput/>
                </w:ffData>
              </w:fldChar>
            </w:r>
            <w:bookmarkStart w:id="33" w:name="Text4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3"/>
          </w:p>
        </w:tc>
        <w:tc>
          <w:tcPr>
            <w:tcW w:w="3512" w:type="dxa"/>
          </w:tcPr>
          <w:p w14:paraId="0DC0BBF3" w14:textId="31F6F068" w:rsidR="00CA77C4" w:rsidRDefault="00CC0225" w:rsidP="00BB5A03">
            <w:pPr>
              <w:pStyle w:val="MHHSBody"/>
            </w:pPr>
            <w:r>
              <w:rPr>
                <w:color w:val="2B579A"/>
                <w:shd w:val="clear" w:color="auto" w:fill="E6E6E6"/>
              </w:rPr>
              <w:fldChar w:fldCharType="begin">
                <w:ffData>
                  <w:name w:val="Text42"/>
                  <w:enabled/>
                  <w:calcOnExit w:val="0"/>
                  <w:textInput/>
                </w:ffData>
              </w:fldChar>
            </w:r>
            <w:bookmarkStart w:id="34" w:name="Text4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4"/>
          </w:p>
        </w:tc>
      </w:tr>
      <w:tr w:rsidR="00CA77C4" w14:paraId="15F56026" w14:textId="77777777" w:rsidTr="00CA77C4">
        <w:tc>
          <w:tcPr>
            <w:tcW w:w="3512" w:type="dxa"/>
          </w:tcPr>
          <w:p w14:paraId="75A3771E" w14:textId="6C857800" w:rsidR="00CA77C4" w:rsidRDefault="00CC0225" w:rsidP="00BB5A03">
            <w:pPr>
              <w:pStyle w:val="MHHSBody"/>
            </w:pPr>
            <w:r>
              <w:rPr>
                <w:color w:val="2B579A"/>
                <w:shd w:val="clear" w:color="auto" w:fill="E6E6E6"/>
              </w:rPr>
              <w:fldChar w:fldCharType="begin">
                <w:ffData>
                  <w:name w:val="Text39"/>
                  <w:enabled/>
                  <w:calcOnExit w:val="0"/>
                  <w:textInput/>
                </w:ffData>
              </w:fldChar>
            </w:r>
            <w:bookmarkStart w:id="35" w:name="Text3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5"/>
          </w:p>
        </w:tc>
        <w:tc>
          <w:tcPr>
            <w:tcW w:w="3512" w:type="dxa"/>
          </w:tcPr>
          <w:p w14:paraId="1B1DA220" w14:textId="5CF266C9" w:rsidR="00CA77C4" w:rsidRDefault="00CC0225" w:rsidP="00BB5A03">
            <w:pPr>
              <w:pStyle w:val="MHHSBody"/>
            </w:pPr>
            <w:r>
              <w:rPr>
                <w:color w:val="2B579A"/>
                <w:shd w:val="clear" w:color="auto" w:fill="E6E6E6"/>
              </w:rPr>
              <w:fldChar w:fldCharType="begin">
                <w:ffData>
                  <w:name w:val="Text41"/>
                  <w:enabled/>
                  <w:calcOnExit w:val="0"/>
                  <w:textInput/>
                </w:ffData>
              </w:fldChar>
            </w:r>
            <w:bookmarkStart w:id="36" w:name="Text4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6"/>
          </w:p>
        </w:tc>
        <w:tc>
          <w:tcPr>
            <w:tcW w:w="3512" w:type="dxa"/>
          </w:tcPr>
          <w:p w14:paraId="5AE17293" w14:textId="34246C54" w:rsidR="00CA77C4" w:rsidRDefault="00CC0225" w:rsidP="00BB5A03">
            <w:pPr>
              <w:pStyle w:val="MHHSBody"/>
            </w:pPr>
            <w:r>
              <w:rPr>
                <w:color w:val="2B579A"/>
                <w:shd w:val="clear" w:color="auto" w:fill="E6E6E6"/>
              </w:rPr>
              <w:fldChar w:fldCharType="begin">
                <w:ffData>
                  <w:name w:val="Text43"/>
                  <w:enabled/>
                  <w:calcOnExit w:val="0"/>
                  <w:textInput/>
                </w:ffData>
              </w:fldChar>
            </w:r>
            <w:bookmarkStart w:id="37" w:name="Text4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7"/>
          </w:p>
        </w:tc>
      </w:tr>
    </w:tbl>
    <w:p w14:paraId="1E7217EC" w14:textId="490154A9" w:rsidR="00124C9C" w:rsidRDefault="00124C9C" w:rsidP="001E03F6"/>
    <w:sectPr w:rsidR="00124C9C" w:rsidSect="00881C0D">
      <w:footerReference w:type="default" r:id="rId11"/>
      <w:headerReference w:type="first" r:id="rId12"/>
      <w:footerReference w:type="first" r:id="rId13"/>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427F" w14:textId="77777777" w:rsidR="00F3384E" w:rsidRDefault="00F3384E" w:rsidP="007F1A2A">
      <w:pPr>
        <w:spacing w:after="0" w:line="240" w:lineRule="auto"/>
      </w:pPr>
      <w:r>
        <w:separator/>
      </w:r>
    </w:p>
  </w:endnote>
  <w:endnote w:type="continuationSeparator" w:id="0">
    <w:p w14:paraId="213E55E3" w14:textId="77777777" w:rsidR="00F3384E" w:rsidRDefault="00F3384E" w:rsidP="007F1A2A">
      <w:pPr>
        <w:spacing w:after="0" w:line="240" w:lineRule="auto"/>
      </w:pPr>
      <w:r>
        <w:continuationSeparator/>
      </w:r>
    </w:p>
  </w:endnote>
  <w:endnote w:type="continuationNotice" w:id="1">
    <w:p w14:paraId="755B37D4" w14:textId="77777777" w:rsidR="00F3384E" w:rsidRDefault="00F33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07509982"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716BB6">
              <w:rPr>
                <w:noProof/>
              </w:rPr>
              <w:t>2024</w:t>
            </w:r>
            <w:r>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FD5BE0">
              <w:rPr>
                <w:noProof/>
              </w:rPr>
              <w:t>3</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FD5BE0">
              <w:rPr>
                <w:noProof/>
              </w:rPr>
              <w:t>3</w:t>
            </w:r>
            <w:r>
              <w:rPr>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1024C9C1" w:rsidR="00F027A4" w:rsidRDefault="00A963DA" w:rsidP="006B1803">
    <w:pPr>
      <w:pStyle w:val="Footer"/>
      <w:tabs>
        <w:tab w:val="right" w:pos="10490"/>
      </w:tabs>
    </w:pPr>
    <w:r>
      <w:rPr>
        <w:noProof/>
        <w:color w:val="2B579A"/>
        <w:shd w:val="clear" w:color="auto" w:fill="E6E6E6"/>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rPr>
        <w:color w:val="2B579A"/>
        <w:shd w:val="clear" w:color="auto" w:fill="E6E6E6"/>
      </w:rPr>
      <w:fldChar w:fldCharType="begin"/>
    </w:r>
    <w:r w:rsidR="001E03F6">
      <w:instrText xml:space="preserve"> DATE \@ "yyyy" \* MERGEFORMAT </w:instrText>
    </w:r>
    <w:r w:rsidR="001E03F6">
      <w:rPr>
        <w:color w:val="2B579A"/>
        <w:shd w:val="clear" w:color="auto" w:fill="E6E6E6"/>
      </w:rPr>
      <w:fldChar w:fldCharType="separate"/>
    </w:r>
    <w:r w:rsidR="00716BB6">
      <w:rPr>
        <w:noProof/>
      </w:rPr>
      <w:t>2024</w:t>
    </w:r>
    <w:r w:rsidR="001E03F6">
      <w:rPr>
        <w:color w:val="2B579A"/>
        <w:shd w:val="clear" w:color="auto" w:fill="E6E6E6"/>
      </w:rPr>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1F5B" w14:textId="77777777" w:rsidR="00F3384E" w:rsidRDefault="00F3384E" w:rsidP="007F1A2A">
      <w:pPr>
        <w:spacing w:after="0" w:line="240" w:lineRule="auto"/>
      </w:pPr>
      <w:r>
        <w:separator/>
      </w:r>
    </w:p>
  </w:footnote>
  <w:footnote w:type="continuationSeparator" w:id="0">
    <w:p w14:paraId="1D36E31F" w14:textId="77777777" w:rsidR="00F3384E" w:rsidRDefault="00F3384E" w:rsidP="007F1A2A">
      <w:pPr>
        <w:spacing w:after="0" w:line="240" w:lineRule="auto"/>
      </w:pPr>
      <w:r>
        <w:continuationSeparator/>
      </w:r>
    </w:p>
  </w:footnote>
  <w:footnote w:type="continuationNotice" w:id="1">
    <w:p w14:paraId="56383734" w14:textId="77777777" w:rsidR="00F3384E" w:rsidRDefault="00F3384E">
      <w:pPr>
        <w:spacing w:after="0" w:line="240" w:lineRule="auto"/>
      </w:pPr>
    </w:p>
  </w:footnote>
  <w:footnote w:id="2">
    <w:p w14:paraId="56D9B2E4" w14:textId="77777777" w:rsidR="00893BDB" w:rsidRPr="00D17CB0" w:rsidRDefault="00893BDB" w:rsidP="00D17CB0">
      <w:pPr>
        <w:pStyle w:val="FootnoteText"/>
        <w:rPr>
          <w:rFonts w:ascii="Aptos" w:eastAsiaTheme="minorHAnsi" w:hAnsi="Aptos"/>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color w:val="2B579A"/>
        <w:shd w:val="clear" w:color="auto" w:fill="E6E6E6"/>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2080CD0"/>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D777C"/>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35D03"/>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85AC4E0"/>
    <w:multiLevelType w:val="hybridMultilevel"/>
    <w:tmpl w:val="26A880DC"/>
    <w:lvl w:ilvl="0" w:tplc="D8C0E67E">
      <w:start w:val="1"/>
      <w:numFmt w:val="bullet"/>
      <w:lvlText w:val=""/>
      <w:lvlJc w:val="left"/>
      <w:pPr>
        <w:ind w:left="720" w:hanging="360"/>
      </w:pPr>
      <w:rPr>
        <w:rFonts w:ascii="Symbol" w:hAnsi="Symbol" w:hint="default"/>
      </w:rPr>
    </w:lvl>
    <w:lvl w:ilvl="1" w:tplc="0ACC8DAC">
      <w:start w:val="1"/>
      <w:numFmt w:val="bullet"/>
      <w:lvlText w:val="o"/>
      <w:lvlJc w:val="left"/>
      <w:pPr>
        <w:ind w:left="1440" w:hanging="360"/>
      </w:pPr>
      <w:rPr>
        <w:rFonts w:ascii="Courier New" w:hAnsi="Courier New" w:hint="default"/>
      </w:rPr>
    </w:lvl>
    <w:lvl w:ilvl="2" w:tplc="7B3C1CB0">
      <w:start w:val="1"/>
      <w:numFmt w:val="bullet"/>
      <w:lvlText w:val=""/>
      <w:lvlJc w:val="left"/>
      <w:pPr>
        <w:ind w:left="2160" w:hanging="360"/>
      </w:pPr>
      <w:rPr>
        <w:rFonts w:ascii="Wingdings" w:hAnsi="Wingdings" w:hint="default"/>
      </w:rPr>
    </w:lvl>
    <w:lvl w:ilvl="3" w:tplc="F6F0D6E2">
      <w:start w:val="1"/>
      <w:numFmt w:val="bullet"/>
      <w:lvlText w:val=""/>
      <w:lvlJc w:val="left"/>
      <w:pPr>
        <w:ind w:left="2880" w:hanging="360"/>
      </w:pPr>
      <w:rPr>
        <w:rFonts w:ascii="Symbol" w:hAnsi="Symbol" w:hint="default"/>
      </w:rPr>
    </w:lvl>
    <w:lvl w:ilvl="4" w:tplc="4AE0DCB4">
      <w:start w:val="1"/>
      <w:numFmt w:val="bullet"/>
      <w:lvlText w:val="o"/>
      <w:lvlJc w:val="left"/>
      <w:pPr>
        <w:ind w:left="3600" w:hanging="360"/>
      </w:pPr>
      <w:rPr>
        <w:rFonts w:ascii="Courier New" w:hAnsi="Courier New" w:hint="default"/>
      </w:rPr>
    </w:lvl>
    <w:lvl w:ilvl="5" w:tplc="A0C05672">
      <w:start w:val="1"/>
      <w:numFmt w:val="bullet"/>
      <w:lvlText w:val=""/>
      <w:lvlJc w:val="left"/>
      <w:pPr>
        <w:ind w:left="4320" w:hanging="360"/>
      </w:pPr>
      <w:rPr>
        <w:rFonts w:ascii="Wingdings" w:hAnsi="Wingdings" w:hint="default"/>
      </w:rPr>
    </w:lvl>
    <w:lvl w:ilvl="6" w:tplc="DF401AB6">
      <w:start w:val="1"/>
      <w:numFmt w:val="bullet"/>
      <w:lvlText w:val=""/>
      <w:lvlJc w:val="left"/>
      <w:pPr>
        <w:ind w:left="5040" w:hanging="360"/>
      </w:pPr>
      <w:rPr>
        <w:rFonts w:ascii="Symbol" w:hAnsi="Symbol" w:hint="default"/>
      </w:rPr>
    </w:lvl>
    <w:lvl w:ilvl="7" w:tplc="272E5D76">
      <w:start w:val="1"/>
      <w:numFmt w:val="bullet"/>
      <w:lvlText w:val="o"/>
      <w:lvlJc w:val="left"/>
      <w:pPr>
        <w:ind w:left="5760" w:hanging="360"/>
      </w:pPr>
      <w:rPr>
        <w:rFonts w:ascii="Courier New" w:hAnsi="Courier New" w:hint="default"/>
      </w:rPr>
    </w:lvl>
    <w:lvl w:ilvl="8" w:tplc="1574784E">
      <w:start w:val="1"/>
      <w:numFmt w:val="bullet"/>
      <w:lvlText w:val=""/>
      <w:lvlJc w:val="left"/>
      <w:pPr>
        <w:ind w:left="6480" w:hanging="360"/>
      </w:pPr>
      <w:rPr>
        <w:rFonts w:ascii="Wingdings" w:hAnsi="Wingdings" w:hint="default"/>
      </w:rPr>
    </w:lvl>
  </w:abstractNum>
  <w:abstractNum w:abstractNumId="14" w15:restartNumberingAfterBreak="0">
    <w:nsid w:val="28A575AF"/>
    <w:multiLevelType w:val="hybridMultilevel"/>
    <w:tmpl w:val="0C603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8FB5322"/>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7"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BE7D80"/>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21"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FA5989"/>
    <w:multiLevelType w:val="hybridMultilevel"/>
    <w:tmpl w:val="7C0AF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10FD5"/>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8"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9"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15246"/>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44570124">
    <w:abstractNumId w:val="13"/>
  </w:num>
  <w:num w:numId="2" w16cid:durableId="162398705">
    <w:abstractNumId w:val="3"/>
  </w:num>
  <w:num w:numId="3" w16cid:durableId="724723516">
    <w:abstractNumId w:val="0"/>
  </w:num>
  <w:num w:numId="4" w16cid:durableId="833758805">
    <w:abstractNumId w:val="12"/>
  </w:num>
  <w:num w:numId="5" w16cid:durableId="1400977024">
    <w:abstractNumId w:val="31"/>
  </w:num>
  <w:num w:numId="6" w16cid:durableId="316613592">
    <w:abstractNumId w:val="4"/>
  </w:num>
  <w:num w:numId="7" w16cid:durableId="1013411567">
    <w:abstractNumId w:val="2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562447202">
    <w:abstractNumId w:val="2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951325672">
    <w:abstractNumId w:val="11"/>
  </w:num>
  <w:num w:numId="10" w16cid:durableId="1735858750">
    <w:abstractNumId w:val="33"/>
  </w:num>
  <w:num w:numId="11" w16cid:durableId="1960143817">
    <w:abstractNumId w:val="27"/>
  </w:num>
  <w:num w:numId="12" w16cid:durableId="1445418775">
    <w:abstractNumId w:val="36"/>
  </w:num>
  <w:num w:numId="13" w16cid:durableId="1173691629">
    <w:abstractNumId w:val="24"/>
  </w:num>
  <w:num w:numId="14" w16cid:durableId="1408531643">
    <w:abstractNumId w:val="37"/>
  </w:num>
  <w:num w:numId="15" w16cid:durableId="1689717075">
    <w:abstractNumId w:val="9"/>
  </w:num>
  <w:num w:numId="16" w16cid:durableId="1765345746">
    <w:abstractNumId w:val="34"/>
  </w:num>
  <w:num w:numId="17" w16cid:durableId="1739861400">
    <w:abstractNumId w:val="32"/>
  </w:num>
  <w:num w:numId="18" w16cid:durableId="1362322889">
    <w:abstractNumId w:val="2"/>
  </w:num>
  <w:num w:numId="19" w16cid:durableId="566696032">
    <w:abstractNumId w:val="5"/>
  </w:num>
  <w:num w:numId="20" w16cid:durableId="1453282219">
    <w:abstractNumId w:val="30"/>
  </w:num>
  <w:num w:numId="21" w16cid:durableId="84496781">
    <w:abstractNumId w:val="25"/>
  </w:num>
  <w:num w:numId="22" w16cid:durableId="1290478798">
    <w:abstractNumId w:val="21"/>
  </w:num>
  <w:num w:numId="23" w16cid:durableId="608702015">
    <w:abstractNumId w:val="29"/>
  </w:num>
  <w:num w:numId="24" w16cid:durableId="833299150">
    <w:abstractNumId w:val="17"/>
  </w:num>
  <w:num w:numId="25" w16cid:durableId="1701055255">
    <w:abstractNumId w:val="7"/>
  </w:num>
  <w:num w:numId="26" w16cid:durableId="723874514">
    <w:abstractNumId w:val="10"/>
  </w:num>
  <w:num w:numId="27" w16cid:durableId="1140270382">
    <w:abstractNumId w:val="28"/>
  </w:num>
  <w:num w:numId="28" w16cid:durableId="2123456360">
    <w:abstractNumId w:val="18"/>
  </w:num>
  <w:num w:numId="29" w16cid:durableId="1851213370">
    <w:abstractNumId w:val="22"/>
  </w:num>
  <w:num w:numId="30" w16cid:durableId="1583025799">
    <w:abstractNumId w:val="16"/>
  </w:num>
  <w:num w:numId="31" w16cid:durableId="1368721509">
    <w:abstractNumId w:val="23"/>
  </w:num>
  <w:num w:numId="32" w16cid:durableId="1987397864">
    <w:abstractNumId w:val="15"/>
  </w:num>
  <w:num w:numId="33" w16cid:durableId="551114225">
    <w:abstractNumId w:val="6"/>
  </w:num>
  <w:num w:numId="34" w16cid:durableId="849951024">
    <w:abstractNumId w:val="1"/>
  </w:num>
  <w:num w:numId="35" w16cid:durableId="154147146">
    <w:abstractNumId w:val="8"/>
  </w:num>
  <w:num w:numId="36" w16cid:durableId="1513954930">
    <w:abstractNumId w:val="19"/>
  </w:num>
  <w:num w:numId="37" w16cid:durableId="71045557">
    <w:abstractNumId w:val="35"/>
  </w:num>
  <w:num w:numId="38" w16cid:durableId="596133486">
    <w:abstractNumId w:val="26"/>
  </w:num>
  <w:num w:numId="39" w16cid:durableId="79856691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587D"/>
    <w:rsid w:val="00016BB3"/>
    <w:rsid w:val="00023D77"/>
    <w:rsid w:val="00034C99"/>
    <w:rsid w:val="00036639"/>
    <w:rsid w:val="000425BF"/>
    <w:rsid w:val="00047328"/>
    <w:rsid w:val="000534B2"/>
    <w:rsid w:val="00053B5E"/>
    <w:rsid w:val="000551C9"/>
    <w:rsid w:val="00063D04"/>
    <w:rsid w:val="000644AE"/>
    <w:rsid w:val="000678F9"/>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2DD6"/>
    <w:rsid w:val="000B3037"/>
    <w:rsid w:val="000B6E8B"/>
    <w:rsid w:val="000C3EC4"/>
    <w:rsid w:val="000C3F95"/>
    <w:rsid w:val="000C4D49"/>
    <w:rsid w:val="000D0765"/>
    <w:rsid w:val="000D3B8B"/>
    <w:rsid w:val="000D4A6C"/>
    <w:rsid w:val="000D6539"/>
    <w:rsid w:val="000D7BF7"/>
    <w:rsid w:val="000D7E48"/>
    <w:rsid w:val="000E0749"/>
    <w:rsid w:val="000E188C"/>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0A6"/>
    <w:rsid w:val="00124C9C"/>
    <w:rsid w:val="001258AA"/>
    <w:rsid w:val="00125FA2"/>
    <w:rsid w:val="00132474"/>
    <w:rsid w:val="0013406A"/>
    <w:rsid w:val="00134B88"/>
    <w:rsid w:val="00136310"/>
    <w:rsid w:val="00143EC4"/>
    <w:rsid w:val="00145996"/>
    <w:rsid w:val="001460D0"/>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6DC3"/>
    <w:rsid w:val="001A7E27"/>
    <w:rsid w:val="001B2B74"/>
    <w:rsid w:val="001B3F5C"/>
    <w:rsid w:val="001C3ACC"/>
    <w:rsid w:val="001C43A1"/>
    <w:rsid w:val="001C5F8C"/>
    <w:rsid w:val="001D20AF"/>
    <w:rsid w:val="001D43CB"/>
    <w:rsid w:val="001D58BD"/>
    <w:rsid w:val="001E03F6"/>
    <w:rsid w:val="001E1FDA"/>
    <w:rsid w:val="001E621D"/>
    <w:rsid w:val="001F0244"/>
    <w:rsid w:val="001F1487"/>
    <w:rsid w:val="001F36D9"/>
    <w:rsid w:val="001F5B14"/>
    <w:rsid w:val="00200B4D"/>
    <w:rsid w:val="00202175"/>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379FE"/>
    <w:rsid w:val="00247A1C"/>
    <w:rsid w:val="00250039"/>
    <w:rsid w:val="00256616"/>
    <w:rsid w:val="00260CDE"/>
    <w:rsid w:val="002626FA"/>
    <w:rsid w:val="00263533"/>
    <w:rsid w:val="00265B8B"/>
    <w:rsid w:val="0026756E"/>
    <w:rsid w:val="0027332E"/>
    <w:rsid w:val="00275753"/>
    <w:rsid w:val="0027788D"/>
    <w:rsid w:val="00281245"/>
    <w:rsid w:val="002833E1"/>
    <w:rsid w:val="00284F6E"/>
    <w:rsid w:val="002855CB"/>
    <w:rsid w:val="0029174A"/>
    <w:rsid w:val="00294BAC"/>
    <w:rsid w:val="002964A1"/>
    <w:rsid w:val="002A28F3"/>
    <w:rsid w:val="002A5CBD"/>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B9C"/>
    <w:rsid w:val="002E3CE0"/>
    <w:rsid w:val="002E4D8A"/>
    <w:rsid w:val="002E5522"/>
    <w:rsid w:val="002E68F3"/>
    <w:rsid w:val="002F0B3C"/>
    <w:rsid w:val="002F2A06"/>
    <w:rsid w:val="002F2E2B"/>
    <w:rsid w:val="002F6C5F"/>
    <w:rsid w:val="002F7192"/>
    <w:rsid w:val="00301A2D"/>
    <w:rsid w:val="00303B82"/>
    <w:rsid w:val="00305015"/>
    <w:rsid w:val="0030696E"/>
    <w:rsid w:val="00310D64"/>
    <w:rsid w:val="00314400"/>
    <w:rsid w:val="0031548E"/>
    <w:rsid w:val="00316D3E"/>
    <w:rsid w:val="00321D61"/>
    <w:rsid w:val="003263AE"/>
    <w:rsid w:val="00326AA0"/>
    <w:rsid w:val="0033241F"/>
    <w:rsid w:val="00335B30"/>
    <w:rsid w:val="0033767B"/>
    <w:rsid w:val="00340C27"/>
    <w:rsid w:val="003411EC"/>
    <w:rsid w:val="00341B12"/>
    <w:rsid w:val="00341E3B"/>
    <w:rsid w:val="003454F7"/>
    <w:rsid w:val="0035150D"/>
    <w:rsid w:val="00352693"/>
    <w:rsid w:val="003546D9"/>
    <w:rsid w:val="00354C8E"/>
    <w:rsid w:val="00357AC2"/>
    <w:rsid w:val="0036112A"/>
    <w:rsid w:val="00365A87"/>
    <w:rsid w:val="00370C26"/>
    <w:rsid w:val="00371289"/>
    <w:rsid w:val="00375E65"/>
    <w:rsid w:val="00383384"/>
    <w:rsid w:val="0038723A"/>
    <w:rsid w:val="0038771D"/>
    <w:rsid w:val="00393377"/>
    <w:rsid w:val="0039425C"/>
    <w:rsid w:val="003960AC"/>
    <w:rsid w:val="003A0677"/>
    <w:rsid w:val="003A54C8"/>
    <w:rsid w:val="003A5CB9"/>
    <w:rsid w:val="003A7CFD"/>
    <w:rsid w:val="003B298A"/>
    <w:rsid w:val="003B4E65"/>
    <w:rsid w:val="003B5EC6"/>
    <w:rsid w:val="003C5731"/>
    <w:rsid w:val="003C5BD4"/>
    <w:rsid w:val="003D3C39"/>
    <w:rsid w:val="003D620E"/>
    <w:rsid w:val="003D774C"/>
    <w:rsid w:val="003E389C"/>
    <w:rsid w:val="003F17EB"/>
    <w:rsid w:val="003F36A4"/>
    <w:rsid w:val="003F4E69"/>
    <w:rsid w:val="003F579A"/>
    <w:rsid w:val="003F7F02"/>
    <w:rsid w:val="00414E29"/>
    <w:rsid w:val="00416C2A"/>
    <w:rsid w:val="00422EC9"/>
    <w:rsid w:val="0042390B"/>
    <w:rsid w:val="00427048"/>
    <w:rsid w:val="00427C82"/>
    <w:rsid w:val="00431615"/>
    <w:rsid w:val="00433376"/>
    <w:rsid w:val="0043557E"/>
    <w:rsid w:val="00437715"/>
    <w:rsid w:val="00440B69"/>
    <w:rsid w:val="00443A7C"/>
    <w:rsid w:val="004509C9"/>
    <w:rsid w:val="004515FB"/>
    <w:rsid w:val="00452A2A"/>
    <w:rsid w:val="00456B64"/>
    <w:rsid w:val="004603C5"/>
    <w:rsid w:val="00464E40"/>
    <w:rsid w:val="004704FF"/>
    <w:rsid w:val="00477191"/>
    <w:rsid w:val="00485627"/>
    <w:rsid w:val="004860F2"/>
    <w:rsid w:val="00492EA8"/>
    <w:rsid w:val="004A2C6F"/>
    <w:rsid w:val="004A39A1"/>
    <w:rsid w:val="004B2ABE"/>
    <w:rsid w:val="004B4B3C"/>
    <w:rsid w:val="004B5189"/>
    <w:rsid w:val="004B6C07"/>
    <w:rsid w:val="004C16B0"/>
    <w:rsid w:val="004C626E"/>
    <w:rsid w:val="004D0669"/>
    <w:rsid w:val="004D272C"/>
    <w:rsid w:val="004D2B8C"/>
    <w:rsid w:val="004D4723"/>
    <w:rsid w:val="004D6749"/>
    <w:rsid w:val="004E228E"/>
    <w:rsid w:val="004E39D8"/>
    <w:rsid w:val="004E5557"/>
    <w:rsid w:val="004F46F4"/>
    <w:rsid w:val="004F5759"/>
    <w:rsid w:val="004F61DD"/>
    <w:rsid w:val="00505C15"/>
    <w:rsid w:val="0051017E"/>
    <w:rsid w:val="005101FE"/>
    <w:rsid w:val="00510E4D"/>
    <w:rsid w:val="005128C7"/>
    <w:rsid w:val="00513D90"/>
    <w:rsid w:val="00514843"/>
    <w:rsid w:val="0051626F"/>
    <w:rsid w:val="00517E3E"/>
    <w:rsid w:val="0052029F"/>
    <w:rsid w:val="00527631"/>
    <w:rsid w:val="00527C76"/>
    <w:rsid w:val="00531ADF"/>
    <w:rsid w:val="00535B5A"/>
    <w:rsid w:val="005369CD"/>
    <w:rsid w:val="00537417"/>
    <w:rsid w:val="0054131D"/>
    <w:rsid w:val="005418B9"/>
    <w:rsid w:val="005427F1"/>
    <w:rsid w:val="005429AA"/>
    <w:rsid w:val="005433CF"/>
    <w:rsid w:val="00550AF8"/>
    <w:rsid w:val="00551786"/>
    <w:rsid w:val="00552E50"/>
    <w:rsid w:val="00553C2E"/>
    <w:rsid w:val="00561060"/>
    <w:rsid w:val="00561A0A"/>
    <w:rsid w:val="00565B78"/>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2121"/>
    <w:rsid w:val="005C49DD"/>
    <w:rsid w:val="005C5880"/>
    <w:rsid w:val="005D014F"/>
    <w:rsid w:val="005D0A89"/>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BE6"/>
    <w:rsid w:val="00640DE0"/>
    <w:rsid w:val="00643F46"/>
    <w:rsid w:val="006461EA"/>
    <w:rsid w:val="00646ADC"/>
    <w:rsid w:val="00647FAB"/>
    <w:rsid w:val="0065074D"/>
    <w:rsid w:val="00650F39"/>
    <w:rsid w:val="00651F24"/>
    <w:rsid w:val="006524E5"/>
    <w:rsid w:val="00655F12"/>
    <w:rsid w:val="00656E14"/>
    <w:rsid w:val="006709F4"/>
    <w:rsid w:val="00672D21"/>
    <w:rsid w:val="00674D12"/>
    <w:rsid w:val="00684D80"/>
    <w:rsid w:val="006A2878"/>
    <w:rsid w:val="006A33A2"/>
    <w:rsid w:val="006A357D"/>
    <w:rsid w:val="006A4877"/>
    <w:rsid w:val="006A57DC"/>
    <w:rsid w:val="006A67F0"/>
    <w:rsid w:val="006A77BD"/>
    <w:rsid w:val="006A7991"/>
    <w:rsid w:val="006B1803"/>
    <w:rsid w:val="006B4454"/>
    <w:rsid w:val="006C00B4"/>
    <w:rsid w:val="006C0A41"/>
    <w:rsid w:val="006C0A75"/>
    <w:rsid w:val="006C5E01"/>
    <w:rsid w:val="006D740E"/>
    <w:rsid w:val="006F0122"/>
    <w:rsid w:val="006F1087"/>
    <w:rsid w:val="006F7595"/>
    <w:rsid w:val="006F799F"/>
    <w:rsid w:val="00706626"/>
    <w:rsid w:val="00706920"/>
    <w:rsid w:val="007161FF"/>
    <w:rsid w:val="0071691E"/>
    <w:rsid w:val="00716BB6"/>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4538"/>
    <w:rsid w:val="00765013"/>
    <w:rsid w:val="00771E35"/>
    <w:rsid w:val="007730FE"/>
    <w:rsid w:val="0077359A"/>
    <w:rsid w:val="00775BC8"/>
    <w:rsid w:val="00777B13"/>
    <w:rsid w:val="00777B8D"/>
    <w:rsid w:val="00790171"/>
    <w:rsid w:val="007905D1"/>
    <w:rsid w:val="007935D5"/>
    <w:rsid w:val="00794B98"/>
    <w:rsid w:val="00796FC1"/>
    <w:rsid w:val="00797021"/>
    <w:rsid w:val="0079724C"/>
    <w:rsid w:val="00797D6F"/>
    <w:rsid w:val="007A0BE0"/>
    <w:rsid w:val="007A26EE"/>
    <w:rsid w:val="007A4794"/>
    <w:rsid w:val="007A69CC"/>
    <w:rsid w:val="007B21B5"/>
    <w:rsid w:val="007B61C8"/>
    <w:rsid w:val="007B7230"/>
    <w:rsid w:val="007B7EAA"/>
    <w:rsid w:val="007C1A33"/>
    <w:rsid w:val="007C1E79"/>
    <w:rsid w:val="007C38CF"/>
    <w:rsid w:val="007C43A5"/>
    <w:rsid w:val="007C4770"/>
    <w:rsid w:val="007C7005"/>
    <w:rsid w:val="007D0604"/>
    <w:rsid w:val="007D3155"/>
    <w:rsid w:val="007D34E2"/>
    <w:rsid w:val="007D5E99"/>
    <w:rsid w:val="007D78F8"/>
    <w:rsid w:val="007E4398"/>
    <w:rsid w:val="007F0EE3"/>
    <w:rsid w:val="007F1A2A"/>
    <w:rsid w:val="00800DEE"/>
    <w:rsid w:val="00802929"/>
    <w:rsid w:val="00803A0E"/>
    <w:rsid w:val="0080680C"/>
    <w:rsid w:val="008075A8"/>
    <w:rsid w:val="008117C8"/>
    <w:rsid w:val="008222C3"/>
    <w:rsid w:val="00824F87"/>
    <w:rsid w:val="008272E2"/>
    <w:rsid w:val="008306A7"/>
    <w:rsid w:val="0083260C"/>
    <w:rsid w:val="00832D21"/>
    <w:rsid w:val="00832F59"/>
    <w:rsid w:val="008345BA"/>
    <w:rsid w:val="0083484B"/>
    <w:rsid w:val="008409F5"/>
    <w:rsid w:val="00840B1F"/>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1AA8"/>
    <w:rsid w:val="00875B37"/>
    <w:rsid w:val="0087719A"/>
    <w:rsid w:val="00877C33"/>
    <w:rsid w:val="008816F9"/>
    <w:rsid w:val="00881C0D"/>
    <w:rsid w:val="00892B30"/>
    <w:rsid w:val="00893BDB"/>
    <w:rsid w:val="008946DB"/>
    <w:rsid w:val="00894F9F"/>
    <w:rsid w:val="00897E47"/>
    <w:rsid w:val="008A0C13"/>
    <w:rsid w:val="008A16C2"/>
    <w:rsid w:val="008A2ECC"/>
    <w:rsid w:val="008A3ACD"/>
    <w:rsid w:val="008C07D4"/>
    <w:rsid w:val="008C1D48"/>
    <w:rsid w:val="008D0B78"/>
    <w:rsid w:val="008D0BA5"/>
    <w:rsid w:val="008D4068"/>
    <w:rsid w:val="008E2C3D"/>
    <w:rsid w:val="008F0321"/>
    <w:rsid w:val="008F28C7"/>
    <w:rsid w:val="008F4B86"/>
    <w:rsid w:val="008F4F0F"/>
    <w:rsid w:val="008F7C0D"/>
    <w:rsid w:val="00903894"/>
    <w:rsid w:val="00904932"/>
    <w:rsid w:val="009056D8"/>
    <w:rsid w:val="009067B2"/>
    <w:rsid w:val="0091216C"/>
    <w:rsid w:val="0091604F"/>
    <w:rsid w:val="009205D6"/>
    <w:rsid w:val="00924F48"/>
    <w:rsid w:val="00924FC6"/>
    <w:rsid w:val="00925D57"/>
    <w:rsid w:val="00932214"/>
    <w:rsid w:val="00933D57"/>
    <w:rsid w:val="0093434A"/>
    <w:rsid w:val="00937090"/>
    <w:rsid w:val="009377EA"/>
    <w:rsid w:val="0094533B"/>
    <w:rsid w:val="0094665D"/>
    <w:rsid w:val="00953FCD"/>
    <w:rsid w:val="009546EB"/>
    <w:rsid w:val="009550AF"/>
    <w:rsid w:val="00957495"/>
    <w:rsid w:val="00960D82"/>
    <w:rsid w:val="00961537"/>
    <w:rsid w:val="0096339A"/>
    <w:rsid w:val="009641B1"/>
    <w:rsid w:val="00975284"/>
    <w:rsid w:val="009767A5"/>
    <w:rsid w:val="00977766"/>
    <w:rsid w:val="009806B6"/>
    <w:rsid w:val="0098780F"/>
    <w:rsid w:val="009943F7"/>
    <w:rsid w:val="00996912"/>
    <w:rsid w:val="009A0701"/>
    <w:rsid w:val="009A0EA7"/>
    <w:rsid w:val="009A4F56"/>
    <w:rsid w:val="009A5E85"/>
    <w:rsid w:val="009A66FE"/>
    <w:rsid w:val="009A698C"/>
    <w:rsid w:val="009A7AD3"/>
    <w:rsid w:val="009B0522"/>
    <w:rsid w:val="009B1E3D"/>
    <w:rsid w:val="009B5A50"/>
    <w:rsid w:val="009C26A8"/>
    <w:rsid w:val="009C7889"/>
    <w:rsid w:val="009D1D53"/>
    <w:rsid w:val="009D5B37"/>
    <w:rsid w:val="009E369D"/>
    <w:rsid w:val="009E5334"/>
    <w:rsid w:val="009E6EB0"/>
    <w:rsid w:val="009E76EE"/>
    <w:rsid w:val="009E7869"/>
    <w:rsid w:val="009F2A5E"/>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224A4"/>
    <w:rsid w:val="00A30868"/>
    <w:rsid w:val="00A31446"/>
    <w:rsid w:val="00A342D0"/>
    <w:rsid w:val="00A40C6D"/>
    <w:rsid w:val="00A43147"/>
    <w:rsid w:val="00A43600"/>
    <w:rsid w:val="00A43A0E"/>
    <w:rsid w:val="00A450FD"/>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40FF"/>
    <w:rsid w:val="00A85ACF"/>
    <w:rsid w:val="00A86AE7"/>
    <w:rsid w:val="00A929C5"/>
    <w:rsid w:val="00A92AE4"/>
    <w:rsid w:val="00A94318"/>
    <w:rsid w:val="00A94C50"/>
    <w:rsid w:val="00A952CE"/>
    <w:rsid w:val="00A963DA"/>
    <w:rsid w:val="00AA02FD"/>
    <w:rsid w:val="00AA06FD"/>
    <w:rsid w:val="00AA070B"/>
    <w:rsid w:val="00AA49E7"/>
    <w:rsid w:val="00AA6D2A"/>
    <w:rsid w:val="00AB196D"/>
    <w:rsid w:val="00AB2B3E"/>
    <w:rsid w:val="00AC33B2"/>
    <w:rsid w:val="00AC4533"/>
    <w:rsid w:val="00AC5400"/>
    <w:rsid w:val="00AC6743"/>
    <w:rsid w:val="00AD0F81"/>
    <w:rsid w:val="00AD3286"/>
    <w:rsid w:val="00AD42DD"/>
    <w:rsid w:val="00AD4E49"/>
    <w:rsid w:val="00AD50AF"/>
    <w:rsid w:val="00AD6787"/>
    <w:rsid w:val="00AE4BB6"/>
    <w:rsid w:val="00AF2398"/>
    <w:rsid w:val="00AF4AE2"/>
    <w:rsid w:val="00AF65C8"/>
    <w:rsid w:val="00B0254B"/>
    <w:rsid w:val="00B126D2"/>
    <w:rsid w:val="00B14091"/>
    <w:rsid w:val="00B142DB"/>
    <w:rsid w:val="00B14826"/>
    <w:rsid w:val="00B20F2E"/>
    <w:rsid w:val="00B2340B"/>
    <w:rsid w:val="00B33F02"/>
    <w:rsid w:val="00B437F5"/>
    <w:rsid w:val="00B5112E"/>
    <w:rsid w:val="00B5291F"/>
    <w:rsid w:val="00B534FD"/>
    <w:rsid w:val="00B53712"/>
    <w:rsid w:val="00B53B94"/>
    <w:rsid w:val="00B55C71"/>
    <w:rsid w:val="00B61319"/>
    <w:rsid w:val="00B61403"/>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94560"/>
    <w:rsid w:val="00BA06BC"/>
    <w:rsid w:val="00BA0E67"/>
    <w:rsid w:val="00BA3D8A"/>
    <w:rsid w:val="00BA4845"/>
    <w:rsid w:val="00BA5187"/>
    <w:rsid w:val="00BB22CC"/>
    <w:rsid w:val="00BB51C7"/>
    <w:rsid w:val="00BB5A03"/>
    <w:rsid w:val="00BC030A"/>
    <w:rsid w:val="00BC6F33"/>
    <w:rsid w:val="00BD452B"/>
    <w:rsid w:val="00BD643B"/>
    <w:rsid w:val="00BE34A8"/>
    <w:rsid w:val="00BE35A0"/>
    <w:rsid w:val="00BF3777"/>
    <w:rsid w:val="00BF5464"/>
    <w:rsid w:val="00BF721F"/>
    <w:rsid w:val="00C05C6B"/>
    <w:rsid w:val="00C07B56"/>
    <w:rsid w:val="00C100EA"/>
    <w:rsid w:val="00C12829"/>
    <w:rsid w:val="00C156B6"/>
    <w:rsid w:val="00C16E52"/>
    <w:rsid w:val="00C2261D"/>
    <w:rsid w:val="00C22ED1"/>
    <w:rsid w:val="00C2460B"/>
    <w:rsid w:val="00C2729F"/>
    <w:rsid w:val="00C2751B"/>
    <w:rsid w:val="00C31012"/>
    <w:rsid w:val="00C32F6C"/>
    <w:rsid w:val="00C330C3"/>
    <w:rsid w:val="00C335DA"/>
    <w:rsid w:val="00C4169B"/>
    <w:rsid w:val="00C42F75"/>
    <w:rsid w:val="00C44422"/>
    <w:rsid w:val="00C44833"/>
    <w:rsid w:val="00C4747F"/>
    <w:rsid w:val="00C51C7E"/>
    <w:rsid w:val="00C52AB7"/>
    <w:rsid w:val="00C53E85"/>
    <w:rsid w:val="00C542AB"/>
    <w:rsid w:val="00C62FEC"/>
    <w:rsid w:val="00C65E89"/>
    <w:rsid w:val="00C660BD"/>
    <w:rsid w:val="00C663C8"/>
    <w:rsid w:val="00C66B92"/>
    <w:rsid w:val="00C70663"/>
    <w:rsid w:val="00C70852"/>
    <w:rsid w:val="00C71655"/>
    <w:rsid w:val="00C77EA1"/>
    <w:rsid w:val="00C8188B"/>
    <w:rsid w:val="00C82CFF"/>
    <w:rsid w:val="00C85012"/>
    <w:rsid w:val="00C87892"/>
    <w:rsid w:val="00C97BC7"/>
    <w:rsid w:val="00CA1176"/>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E6C71"/>
    <w:rsid w:val="00CF1E51"/>
    <w:rsid w:val="00CF3C9B"/>
    <w:rsid w:val="00CF3F69"/>
    <w:rsid w:val="00CF49C7"/>
    <w:rsid w:val="00CF52C6"/>
    <w:rsid w:val="00CF5F28"/>
    <w:rsid w:val="00CF7251"/>
    <w:rsid w:val="00D03854"/>
    <w:rsid w:val="00D03E89"/>
    <w:rsid w:val="00D04216"/>
    <w:rsid w:val="00D07165"/>
    <w:rsid w:val="00D07618"/>
    <w:rsid w:val="00D10E21"/>
    <w:rsid w:val="00D11B86"/>
    <w:rsid w:val="00D15AE1"/>
    <w:rsid w:val="00D16734"/>
    <w:rsid w:val="00D177E0"/>
    <w:rsid w:val="00D2357E"/>
    <w:rsid w:val="00D259EC"/>
    <w:rsid w:val="00D25E17"/>
    <w:rsid w:val="00D26A04"/>
    <w:rsid w:val="00D27FDF"/>
    <w:rsid w:val="00D30AB8"/>
    <w:rsid w:val="00D30B2F"/>
    <w:rsid w:val="00D31E0A"/>
    <w:rsid w:val="00D33340"/>
    <w:rsid w:val="00D40716"/>
    <w:rsid w:val="00D4141A"/>
    <w:rsid w:val="00D51039"/>
    <w:rsid w:val="00D51932"/>
    <w:rsid w:val="00D53C17"/>
    <w:rsid w:val="00D548FF"/>
    <w:rsid w:val="00D573FC"/>
    <w:rsid w:val="00D70274"/>
    <w:rsid w:val="00D70A75"/>
    <w:rsid w:val="00D72E14"/>
    <w:rsid w:val="00D7364B"/>
    <w:rsid w:val="00D74672"/>
    <w:rsid w:val="00D769F6"/>
    <w:rsid w:val="00D82107"/>
    <w:rsid w:val="00D87C80"/>
    <w:rsid w:val="00D94CB0"/>
    <w:rsid w:val="00D95C8E"/>
    <w:rsid w:val="00D96220"/>
    <w:rsid w:val="00DA7370"/>
    <w:rsid w:val="00DA7DFB"/>
    <w:rsid w:val="00DB454A"/>
    <w:rsid w:val="00DB7284"/>
    <w:rsid w:val="00DB7A34"/>
    <w:rsid w:val="00DC598C"/>
    <w:rsid w:val="00DD0965"/>
    <w:rsid w:val="00DD0CF2"/>
    <w:rsid w:val="00DD57EC"/>
    <w:rsid w:val="00DD5E3A"/>
    <w:rsid w:val="00DD5E95"/>
    <w:rsid w:val="00DD5EC3"/>
    <w:rsid w:val="00DD6458"/>
    <w:rsid w:val="00DE108E"/>
    <w:rsid w:val="00DE488A"/>
    <w:rsid w:val="00DF1A93"/>
    <w:rsid w:val="00DF20B2"/>
    <w:rsid w:val="00DF6353"/>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2681"/>
    <w:rsid w:val="00E46A70"/>
    <w:rsid w:val="00E46F71"/>
    <w:rsid w:val="00E50124"/>
    <w:rsid w:val="00E51466"/>
    <w:rsid w:val="00E535A2"/>
    <w:rsid w:val="00E54559"/>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839"/>
    <w:rsid w:val="00EF398E"/>
    <w:rsid w:val="00EF3FD8"/>
    <w:rsid w:val="00F027A4"/>
    <w:rsid w:val="00F10419"/>
    <w:rsid w:val="00F14B16"/>
    <w:rsid w:val="00F15A22"/>
    <w:rsid w:val="00F23C5D"/>
    <w:rsid w:val="00F24BA3"/>
    <w:rsid w:val="00F251A3"/>
    <w:rsid w:val="00F3384E"/>
    <w:rsid w:val="00F346D7"/>
    <w:rsid w:val="00F37521"/>
    <w:rsid w:val="00F41B94"/>
    <w:rsid w:val="00F43087"/>
    <w:rsid w:val="00F54098"/>
    <w:rsid w:val="00F5586A"/>
    <w:rsid w:val="00F6156E"/>
    <w:rsid w:val="00F62C5B"/>
    <w:rsid w:val="00F71A0E"/>
    <w:rsid w:val="00F84704"/>
    <w:rsid w:val="00F86912"/>
    <w:rsid w:val="00F86A0D"/>
    <w:rsid w:val="00F902D6"/>
    <w:rsid w:val="00F90BB1"/>
    <w:rsid w:val="00F94CF8"/>
    <w:rsid w:val="00FA4E2F"/>
    <w:rsid w:val="00FA787B"/>
    <w:rsid w:val="00FB3D4C"/>
    <w:rsid w:val="00FB7EE4"/>
    <w:rsid w:val="00FC1DCC"/>
    <w:rsid w:val="00FC277F"/>
    <w:rsid w:val="00FC7AAB"/>
    <w:rsid w:val="00FD5BE0"/>
    <w:rsid w:val="00FD7563"/>
    <w:rsid w:val="00FE2312"/>
    <w:rsid w:val="00FE290A"/>
    <w:rsid w:val="00FE3070"/>
    <w:rsid w:val="00FF0293"/>
    <w:rsid w:val="00FF29E7"/>
    <w:rsid w:val="00FF3408"/>
    <w:rsid w:val="00FF43EF"/>
    <w:rsid w:val="01B0288D"/>
    <w:rsid w:val="05CA854B"/>
    <w:rsid w:val="072F2146"/>
    <w:rsid w:val="0864BCD1"/>
    <w:rsid w:val="0BDAAA55"/>
    <w:rsid w:val="17E08B05"/>
    <w:rsid w:val="1A8F7853"/>
    <w:rsid w:val="1F2D3520"/>
    <w:rsid w:val="228AAF45"/>
    <w:rsid w:val="22A711B1"/>
    <w:rsid w:val="257ABECA"/>
    <w:rsid w:val="25EAA613"/>
    <w:rsid w:val="26724AFB"/>
    <w:rsid w:val="2B58EF33"/>
    <w:rsid w:val="331D314E"/>
    <w:rsid w:val="346DB050"/>
    <w:rsid w:val="3A3FE1F6"/>
    <w:rsid w:val="3EEBB26C"/>
    <w:rsid w:val="454104E5"/>
    <w:rsid w:val="4BD10F9C"/>
    <w:rsid w:val="4EC2FC1C"/>
    <w:rsid w:val="4FFC8995"/>
    <w:rsid w:val="5127FCF1"/>
    <w:rsid w:val="6BCEE888"/>
    <w:rsid w:val="6D5FF9C0"/>
    <w:rsid w:val="7A20C8A3"/>
    <w:rsid w:val="7A9FF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4"/>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4"/>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4"/>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4"/>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4"/>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4"/>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4"/>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4"/>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4"/>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8"/>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4"/>
      </w:numPr>
      <w:contextualSpacing/>
    </w:pPr>
  </w:style>
  <w:style w:type="paragraph" w:styleId="ListNumber">
    <w:name w:val="List Number"/>
    <w:basedOn w:val="Normal"/>
    <w:uiPriority w:val="99"/>
    <w:unhideWhenUsed/>
    <w:rsid w:val="00904932"/>
    <w:pPr>
      <w:numPr>
        <w:numId w:val="3"/>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2"/>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6"/>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7"/>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10"/>
      </w:numPr>
      <w:spacing w:after="120" w:line="240" w:lineRule="atLeast"/>
      <w:contextualSpacing/>
    </w:pPr>
  </w:style>
  <w:style w:type="paragraph" w:styleId="ListBullet2">
    <w:name w:val="List Bullet 2"/>
    <w:basedOn w:val="Normal"/>
    <w:uiPriority w:val="99"/>
    <w:unhideWhenUsed/>
    <w:qFormat/>
    <w:rsid w:val="00E720F1"/>
    <w:pPr>
      <w:numPr>
        <w:ilvl w:val="1"/>
        <w:numId w:val="10"/>
      </w:numPr>
      <w:spacing w:after="120" w:line="260" w:lineRule="atLeast"/>
      <w:contextualSpacing/>
    </w:pPr>
  </w:style>
  <w:style w:type="paragraph" w:styleId="ListBullet3">
    <w:name w:val="List Bullet 3"/>
    <w:basedOn w:val="Normal"/>
    <w:uiPriority w:val="99"/>
    <w:unhideWhenUsed/>
    <w:qFormat/>
    <w:rsid w:val="00E720F1"/>
    <w:pPr>
      <w:numPr>
        <w:ilvl w:val="2"/>
        <w:numId w:val="10"/>
      </w:numPr>
      <w:spacing w:after="120" w:line="240" w:lineRule="atLeast"/>
      <w:contextualSpacing/>
    </w:pPr>
  </w:style>
  <w:style w:type="paragraph" w:styleId="ListBullet4">
    <w:name w:val="List Bullet 4"/>
    <w:basedOn w:val="Normal"/>
    <w:uiPriority w:val="99"/>
    <w:unhideWhenUsed/>
    <w:qFormat/>
    <w:rsid w:val="00E720F1"/>
    <w:pPr>
      <w:numPr>
        <w:ilvl w:val="3"/>
        <w:numId w:val="10"/>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9"/>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767B"/>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699819745">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Theme xmlns="c712b3fb-dfa4-408d-ba67-c014ff684e9a">Request Forms</Theme>
    <V xmlns="c712b3fb-dfa4-408d-ba67-c014ff684e9a">1.1</V>
    <_DCDateModified xmlns="http://schemas.microsoft.com/sharepoint/v3/fields" xsi:nil="true"/>
    <Archive xmlns="c712b3fb-dfa4-408d-ba67-c014ff684e9a">false</Archive>
    <Doc_x0020_Number xmlns="336dc6f7-e858-42a6-bc18-5509d747a3d8">DEL2931</Doc_x0020_Number>
    <CR xmlns="c712b3fb-dfa4-408d-ba67-c014ff684e9a">CR054</CR>
    <Short_x0020_Name xmlns="336dc6f7-e858-42a6-bc18-5509d747a3d8">CR054 Change Request</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E2C5-616C-46CF-86D4-9992D9954567}"/>
</file>

<file path=customXml/itemProps2.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336dc6f7-e858-42a6-bc18-5509d747a3d8"/>
    <ds:schemaRef ds:uri="c712b3fb-dfa4-408d-ba67-c014ff684e9a"/>
    <ds:schemaRef ds:uri="http://schemas.microsoft.com/sharepoint/v3/fields"/>
  </ds:schemaRefs>
</ds:datastoreItem>
</file>

<file path=customXml/itemProps3.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4.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Immy Syms</cp:lastModifiedBy>
  <cp:revision>3</cp:revision>
  <dcterms:created xsi:type="dcterms:W3CDTF">2024-07-30T14:46:00Z</dcterms:created>
  <dcterms:modified xsi:type="dcterms:W3CDTF">2024-07-30T14:47:00Z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y fmtid="{D5CDD505-2E9C-101B-9397-08002B2CF9AE}" pid="4" name="MSIP_Label_24fe2fa2-8093-4776-8a20-2d25f8c7acf2_Enabled">
    <vt:lpwstr>true</vt:lpwstr>
  </property>
  <property fmtid="{D5CDD505-2E9C-101B-9397-08002B2CF9AE}" pid="5" name="MSIP_Label_24fe2fa2-8093-4776-8a20-2d25f8c7acf2_SetDate">
    <vt:lpwstr>2024-07-22T16:18:26Z</vt:lpwstr>
  </property>
  <property fmtid="{D5CDD505-2E9C-101B-9397-08002B2CF9AE}" pid="6" name="MSIP_Label_24fe2fa2-8093-4776-8a20-2d25f8c7acf2_Method">
    <vt:lpwstr>Standard</vt:lpwstr>
  </property>
  <property fmtid="{D5CDD505-2E9C-101B-9397-08002B2CF9AE}" pid="7" name="MSIP_Label_24fe2fa2-8093-4776-8a20-2d25f8c7acf2_Name">
    <vt:lpwstr>Internal</vt:lpwstr>
  </property>
  <property fmtid="{D5CDD505-2E9C-101B-9397-08002B2CF9AE}" pid="8" name="MSIP_Label_24fe2fa2-8093-4776-8a20-2d25f8c7acf2_SiteId">
    <vt:lpwstr>887a239c-e092-45fe-92c8-d902c3681567</vt:lpwstr>
  </property>
  <property fmtid="{D5CDD505-2E9C-101B-9397-08002B2CF9AE}" pid="9" name="MSIP_Label_24fe2fa2-8093-4776-8a20-2d25f8c7acf2_ActionId">
    <vt:lpwstr>27a716e1-8b0f-40fc-84da-edf62c02a9b2</vt:lpwstr>
  </property>
  <property fmtid="{D5CDD505-2E9C-101B-9397-08002B2CF9AE}" pid="10" name="MSIP_Label_24fe2fa2-8093-4776-8a20-2d25f8c7acf2_ContentBits">
    <vt:lpwstr>0</vt:lpwstr>
  </property>
</Properties>
</file>